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16"/>
      </w:pPr>
      <w:r>
        <w:rPr>
          <w:rFonts w:ascii="Times New Roman"/>
        </w:rPr>
        <w:t>ICS</w:t>
      </w:r>
      <w:r>
        <w:rPr>
          <w:rFonts w:hint="eastAsia" w:ascii="MS Gothic" w:hAnsi="MS Gothic" w:eastAsia="MS Gothic" w:cs="MS Gothic"/>
        </w:rPr>
        <w:t> </w:t>
      </w:r>
      <w:bookmarkStart w:id="0" w:name="ICS"/>
      <w:r>
        <w:fldChar w:fldCharType="begin">
          <w:ffData>
            <w:name w:val="ICS"/>
            <w:enabled/>
            <w:calcOnExit w:val="0"/>
            <w:helpText w:type="text" w:val="请输入正确的ICS号："/>
            <w:textInput>
              <w:default w:val="点击此处添加ICS号"/>
            </w:textInput>
          </w:ffData>
        </w:fldChar>
      </w:r>
      <w:r>
        <w:instrText xml:space="preserve"> FORMTEXT </w:instrText>
      </w:r>
      <w:r>
        <w:fldChar w:fldCharType="separate"/>
      </w:r>
      <w:r>
        <w:t>65.020.</w:t>
      </w:r>
      <w:r>
        <w:rPr>
          <w:rFonts w:hint="eastAsia"/>
          <w:lang w:val="en-US" w:eastAsia="zh-CN"/>
        </w:rPr>
        <w:t>2</w:t>
      </w:r>
      <w:r>
        <w:t>0 </w:t>
      </w:r>
      <w:r>
        <w:fldChar w:fldCharType="end"/>
      </w:r>
      <w:bookmarkEnd w:id="0"/>
    </w:p>
    <w:p>
      <w:pPr>
        <w:pStyle w:val="116"/>
      </w:pPr>
      <w:bookmarkStart w:id="1" w:name="WXFLH"/>
      <w:r>
        <w:fldChar w:fldCharType="begin">
          <w:ffData>
            <w:name w:val="WXFLH"/>
            <w:enabled/>
            <w:calcOnExit w:val="0"/>
            <w:helpText w:type="text" w:val="请输入中国标准文献分类号："/>
            <w:textInput>
              <w:default w:val="点击此处添加中国标准文献分类号"/>
            </w:textInput>
          </w:ffData>
        </w:fldChar>
      </w:r>
      <w:r>
        <w:instrText xml:space="preserve"> FORMTEXT </w:instrText>
      </w:r>
      <w:r>
        <w:fldChar w:fldCharType="separate"/>
      </w:r>
      <w:r>
        <w:t>B 31</w:t>
      </w:r>
      <w:r>
        <w:fldChar w:fldCharType="end"/>
      </w:r>
      <w:bookmarkEnd w:id="1"/>
    </w:p>
    <w:tbl>
      <w:tblPr>
        <w:tblStyle w:val="35"/>
        <w:tblW w:w="985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85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9854" w:type="dxa"/>
            <w:tcBorders>
              <w:top w:val="nil"/>
              <w:left w:val="nil"/>
              <w:bottom w:val="nil"/>
              <w:right w:val="nil"/>
            </w:tcBorders>
            <w:vAlign w:val="top"/>
          </w:tcPr>
          <w:p>
            <w:pPr>
              <w:pStyle w:val="116"/>
            </w:pPr>
            <w:r>
              <w:fldChar w:fldCharType="begin">
                <w:ffData>
                  <w:name w:val="BAH"/>
                  <w:enabled/>
                  <w:calcOnExit w:val="0"/>
                  <w:textInput/>
                </w:ffData>
              </w:fldChar>
            </w:r>
            <w:bookmarkStart w:id="2" w:name="BAH"/>
            <w:r>
              <w:instrText xml:space="preserve"> FORMTEXT </w:instrText>
            </w:r>
            <w:r>
              <w:fldChar w:fldCharType="separate"/>
            </w:r>
            <w:r>
              <w:rPr>
                <w:rFonts w:hint="eastAsia"/>
              </w:rPr>
              <w:t>备案号：</w:t>
            </w:r>
            <w:r>
              <w:fldChar w:fldCharType="end"/>
            </w:r>
            <w:bookmarkEnd w:id="2"/>
          </w:p>
        </w:tc>
      </w:tr>
    </w:tbl>
    <w:p>
      <w:pPr>
        <w:pStyle w:val="104"/>
      </w:pPr>
      <w:r>
        <w:t>DB</w:t>
      </w:r>
      <w:bookmarkStart w:id="3" w:name="c3"/>
      <w:r>
        <w:fldChar w:fldCharType="begin">
          <w:ffData>
            <w:name w:val="c3"/>
            <w:enabled/>
            <w:calcOnExit w:val="0"/>
            <w:textInput>
              <w:maxLength w:val="2"/>
            </w:textInput>
          </w:ffData>
        </w:fldChar>
      </w:r>
      <w:r>
        <w:instrText xml:space="preserve"> FORMTEXT </w:instrText>
      </w:r>
      <w:r>
        <w:fldChar w:fldCharType="separate"/>
      </w:r>
      <w:r>
        <w:rPr>
          <w:rFonts w:hint="eastAsia"/>
        </w:rPr>
        <w:t>44</w:t>
      </w:r>
      <w:r>
        <w:fldChar w:fldCharType="end"/>
      </w:r>
      <w:bookmarkEnd w:id="3"/>
    </w:p>
    <w:p>
      <w:pPr>
        <w:pStyle w:val="98"/>
      </w:pPr>
      <w:bookmarkStart w:id="4" w:name="c4"/>
      <w:r>
        <w:fldChar w:fldCharType="begin">
          <w:ffData>
            <w:name w:val="c4"/>
            <w:enabled/>
            <w:calcOnExit w:val="0"/>
            <w:textInput/>
          </w:ffData>
        </w:fldChar>
      </w:r>
      <w:r>
        <w:instrText xml:space="preserve"> FORMTEXT </w:instrText>
      </w:r>
      <w:r>
        <w:fldChar w:fldCharType="separate"/>
      </w:r>
      <w:r>
        <w:rPr>
          <w:rFonts w:hint="eastAsia"/>
        </w:rPr>
        <w:t>云浮市</w:t>
      </w:r>
      <w:r>
        <w:fldChar w:fldCharType="end"/>
      </w:r>
      <w:bookmarkEnd w:id="4"/>
      <w:r>
        <w:rPr>
          <w:rFonts w:hint="eastAsia"/>
        </w:rPr>
        <w:t>地方标准</w:t>
      </w:r>
    </w:p>
    <w:p>
      <w:pPr>
        <w:pStyle w:val="57"/>
      </w:pPr>
      <w:r>
        <w:rPr>
          <w:rFonts w:ascii="Times New Roman"/>
        </w:rPr>
        <w:t xml:space="preserve">DB </w:t>
      </w:r>
      <w:bookmarkStart w:id="5" w:name="StdNo0"/>
      <w:r>
        <w:fldChar w:fldCharType="begin">
          <w:ffData>
            <w:name w:val="StdNo0"/>
            <w:enabled/>
            <w:calcOnExit w:val="0"/>
            <w:textInput>
              <w:default w:val="XX"/>
              <w:maxLength w:val="2"/>
            </w:textInput>
          </w:ffData>
        </w:fldChar>
      </w:r>
      <w:r>
        <w:instrText xml:space="preserve"> FORMTEXT </w:instrText>
      </w:r>
      <w:r>
        <w:fldChar w:fldCharType="separate"/>
      </w:r>
      <w:r>
        <w:rPr>
          <w:rFonts w:hint="eastAsia"/>
        </w:rPr>
        <w:t>44</w:t>
      </w:r>
      <w:r>
        <w:fldChar w:fldCharType="end"/>
      </w:r>
      <w:bookmarkEnd w:id="5"/>
      <w:r>
        <w:t xml:space="preserve">/ </w:t>
      </w:r>
      <w:bookmarkStart w:id="6" w:name="StdNo1"/>
      <w:r>
        <w:fldChar w:fldCharType="begin">
          <w:ffData>
            <w:name w:val="StdNo1"/>
            <w:enabled/>
            <w:calcOnExit w:val="0"/>
            <w:textInput>
              <w:default w:val="XXXXX"/>
            </w:textInput>
          </w:ffData>
        </w:fldChar>
      </w:r>
      <w:r>
        <w:instrText xml:space="preserve"> FORMTEXT </w:instrText>
      </w:r>
      <w:r>
        <w:fldChar w:fldCharType="separate"/>
      </w:r>
      <w:r>
        <w:t>T</w:t>
      </w:r>
      <w:r>
        <w:fldChar w:fldCharType="end"/>
      </w:r>
      <w:bookmarkEnd w:id="6"/>
      <w:r>
        <w:t>—</w:t>
      </w:r>
      <w:bookmarkStart w:id="7" w:name="StdNo2"/>
      <w:r>
        <w:fldChar w:fldCharType="begin">
          <w:ffData>
            <w:name w:val="StdNo2"/>
            <w:enabled/>
            <w:calcOnExit w:val="0"/>
            <w:textInput>
              <w:default w:val="XXXX"/>
              <w:maxLength w:val="4"/>
            </w:textInput>
          </w:ffData>
        </w:fldChar>
      </w:r>
      <w:r>
        <w:instrText xml:space="preserve"> FORMTEXT </w:instrText>
      </w:r>
      <w:r>
        <w:fldChar w:fldCharType="separate"/>
      </w:r>
      <w:r>
        <w:t>XXXX</w:t>
      </w:r>
      <w:r>
        <w:fldChar w:fldCharType="end"/>
      </w:r>
      <w:bookmarkEnd w:id="7"/>
    </w:p>
    <w:tbl>
      <w:tblPr>
        <w:tblStyle w:val="35"/>
        <w:tblW w:w="93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3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9356" w:type="dxa"/>
            <w:tcBorders>
              <w:top w:val="nil"/>
              <w:left w:val="nil"/>
              <w:bottom w:val="nil"/>
              <w:right w:val="nil"/>
            </w:tcBorders>
            <w:vAlign w:val="top"/>
          </w:tcPr>
          <w:p>
            <w:pPr>
              <w:pStyle w:val="77"/>
            </w:pPr>
            <w:bookmarkStart w:id="8" w:name="DT"/>
            <w:r>
              <w:fldChar w:fldCharType="begin">
                <w:ffData>
                  <w:name w:val="DT"/>
                  <w:enabled/>
                  <w:calcOnExit w:val="0"/>
                  <w:textInput/>
                </w:ffData>
              </w:fldChar>
            </w:r>
            <w:r>
              <w:instrText xml:space="preserve"> FORMTEXT </w:instrText>
            </w:r>
            <w:r>
              <w:fldChar w:fldCharType="separate"/>
            </w:r>
            <w:r>
              <w:t xml:space="preserve"> </w:t>
            </w:r>
            <w:r>
              <w:fldChar w:fldCharType="end"/>
            </w:r>
            <w:bookmarkEnd w:id="8"/>
          </w:p>
        </w:tc>
      </w:tr>
    </w:tbl>
    <w:p>
      <w:pPr>
        <w:pStyle w:val="57"/>
      </w:pPr>
    </w:p>
    <w:p>
      <w:pPr>
        <w:pStyle w:val="57"/>
      </w:pPr>
    </w:p>
    <w:p>
      <w:pPr>
        <w:pStyle w:val="46"/>
      </w:pPr>
      <w:bookmarkStart w:id="9" w:name="StdName"/>
      <w:r>
        <w:fldChar w:fldCharType="begin">
          <w:ffData>
            <w:name w:val="StdName"/>
            <w:enabled/>
            <w:calcOnExit w:val="0"/>
            <w:textInput>
              <w:default w:val="点击此处添加标准名称"/>
            </w:textInput>
          </w:ffData>
        </w:fldChar>
      </w:r>
      <w:r>
        <w:instrText xml:space="preserve"> FORMTEXT </w:instrText>
      </w:r>
      <w:r>
        <w:fldChar w:fldCharType="separate"/>
      </w:r>
      <w:r>
        <w:rPr>
          <w:rFonts w:hint="eastAsia"/>
        </w:rPr>
        <w:t>地理标志产品  南盛沙糖桔</w:t>
      </w:r>
      <w:r>
        <w:fldChar w:fldCharType="end"/>
      </w:r>
      <w:bookmarkEnd w:id="9"/>
    </w:p>
    <w:p>
      <w:pPr>
        <w:pStyle w:val="45"/>
      </w:pPr>
      <w:bookmarkStart w:id="10" w:name="StdEnglishName"/>
      <w:r>
        <w:fldChar w:fldCharType="begin">
          <w:ffData>
            <w:name w:val="StdEnglishName"/>
            <w:enabled/>
            <w:calcOnExit w:val="0"/>
            <w:textInput>
              <w:default w:val="点击此处添加标准英文译名"/>
            </w:textInput>
          </w:ffData>
        </w:fldChar>
      </w:r>
      <w:r>
        <w:instrText xml:space="preserve"> FORMTEXT </w:instrText>
      </w:r>
      <w:r>
        <w:fldChar w:fldCharType="separate"/>
      </w:r>
      <w:r>
        <w:t>Product of geographical indication—</w:t>
      </w:r>
      <w:r>
        <w:rPr>
          <w:rFonts w:hint="eastAsia"/>
        </w:rPr>
        <w:t>NanSheng shatang tangering</w:t>
      </w:r>
      <w:r>
        <w:t>     </w:t>
      </w:r>
      <w:r>
        <w:fldChar w:fldCharType="end"/>
      </w:r>
      <w:bookmarkEnd w:id="10"/>
    </w:p>
    <w:p>
      <w:pPr>
        <w:pStyle w:val="44"/>
      </w:pPr>
      <w:bookmarkStart w:id="11" w:name="YZBS"/>
      <w:r>
        <w:fldChar w:fldCharType="begin">
          <w:ffData>
            <w:name w:val="YZBS"/>
            <w:enabled/>
            <w:calcOnExit w:val="0"/>
            <w:textInput>
              <w:default w:val="点击此处添加与国际标准一致性程度的标识"/>
            </w:textInput>
          </w:ffData>
        </w:fldChar>
      </w:r>
      <w:r>
        <w:instrText xml:space="preserve"> FORMTEXT </w:instrText>
      </w:r>
      <w:r>
        <w:fldChar w:fldCharType="separate"/>
      </w:r>
      <w:r>
        <w:t>     </w:t>
      </w:r>
      <w:r>
        <w:fldChar w:fldCharType="end"/>
      </w:r>
      <w:bookmarkEnd w:id="11"/>
    </w:p>
    <w:tbl>
      <w:tblPr>
        <w:tblStyle w:val="35"/>
        <w:tblW w:w="985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8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9855" w:type="dxa"/>
            <w:tcBorders>
              <w:top w:val="nil"/>
              <w:left w:val="nil"/>
              <w:bottom w:val="nil"/>
              <w:right w:val="nil"/>
            </w:tcBorders>
            <w:vAlign w:val="top"/>
          </w:tcPr>
          <w:p>
            <w:pPr>
              <w:pStyle w:val="43"/>
            </w:pPr>
            <w:r>
              <w:fldChar w:fldCharType="begin">
                <w:ffData>
                  <w:name w:val="LB"/>
                  <w:enabled/>
                  <w:calcOnExit w:val="0"/>
                  <w:ddList>
                    <w:listEntry w:val="文稿版次选择"/>
                    <w:listEntry w:val="（工作组讨论稿）"/>
                    <w:listEntry w:val="（征求意见稿）"/>
                    <w:listEntry w:val="（送审讨论稿）"/>
                    <w:listEntry w:val="（送审稿）"/>
                    <w:listEntry w:val="（报批稿）"/>
                  </w:ddList>
                </w:ffData>
              </w:fldChar>
            </w:r>
            <w:bookmarkStart w:id="12" w:name="LB"/>
            <w:r>
              <w:instrText xml:space="preserve"> FORMDROPDOWN </w:instrText>
            </w:r>
            <w:r>
              <w:fldChar w:fldCharType="separate"/>
            </w:r>
            <w:r>
              <w:fldChar w:fldCharType="end"/>
            </w:r>
            <w:bookmarkEnd w:id="12"/>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9855" w:type="dxa"/>
            <w:tcBorders>
              <w:top w:val="nil"/>
              <w:left w:val="nil"/>
              <w:bottom w:val="nil"/>
              <w:right w:val="nil"/>
            </w:tcBorders>
            <w:vAlign w:val="top"/>
          </w:tcPr>
          <w:p>
            <w:pPr>
              <w:pStyle w:val="42"/>
            </w:pPr>
            <w:bookmarkStart w:id="13" w:name="WCRQ"/>
            <w:r>
              <w:fldChar w:fldCharType="begin">
                <w:ffData>
                  <w:name w:val="WCRQ"/>
                  <w:enabled/>
                  <w:calcOnExit w:val="0"/>
                  <w:textInput/>
                </w:ffData>
              </w:fldChar>
            </w:r>
            <w:r>
              <w:instrText xml:space="preserve"> FORMTEXT </w:instrText>
            </w:r>
            <w:r>
              <w:fldChar w:fldCharType="separate"/>
            </w:r>
            <w:r>
              <w:rPr>
                <w:rFonts w:hint="eastAsia"/>
              </w:rPr>
              <w:t>（本稿完成日期：2020年</w:t>
            </w:r>
            <w:r>
              <w:rPr>
                <w:rFonts w:hint="eastAsia"/>
                <w:lang w:val="en-US" w:eastAsia="zh-CN"/>
              </w:rPr>
              <w:t>6</w:t>
            </w:r>
            <w:r>
              <w:rPr>
                <w:rFonts w:hint="eastAsia"/>
              </w:rPr>
              <w:t>月15日）</w:t>
            </w:r>
            <w:r>
              <w:fldChar w:fldCharType="end"/>
            </w:r>
            <w:bookmarkEnd w:id="13"/>
          </w:p>
        </w:tc>
      </w:tr>
    </w:tbl>
    <w:p>
      <w:pPr>
        <w:pStyle w:val="124"/>
      </w:pPr>
      <w:bookmarkStart w:id="14" w:name="FY"/>
      <w:r>
        <w:rPr>
          <w:rFonts w:ascii="黑体"/>
        </w:rPr>
        <w:fldChar w:fldCharType="begin">
          <w:ffData>
            <w:name w:val="FY"/>
            <w:enabled/>
            <w:calcOnExit w:val="0"/>
            <w:textInput>
              <w:default w:val="XXXX"/>
              <w:maxLength w:val="4"/>
            </w:textInput>
          </w:ffData>
        </w:fldChar>
      </w:r>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FM"/>
            <w:enabled/>
            <w:calcOnExit w:val="0"/>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r>
        <w:t xml:space="preserve"> </w:t>
      </w:r>
      <w:r>
        <w:rPr>
          <w:rFonts w:ascii="黑体"/>
        </w:rPr>
        <w:t>-</w:t>
      </w:r>
      <w:r>
        <w:t xml:space="preserve"> </w:t>
      </w:r>
      <w:bookmarkStart w:id="15" w:name="FD"/>
      <w:r>
        <w:rPr>
          <w:rFonts w:ascii="黑体"/>
        </w:rPr>
        <w:fldChar w:fldCharType="begin">
          <w:ffData>
            <w:name w:val="FD"/>
            <w:enabled/>
            <w:calcOnExit w:val="0"/>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rPr>
          <w:rFonts w:hint="eastAsia"/>
        </w:rPr>
        <w:t>发布</w:t>
      </w:r>
      <w:r>
        <w:pict>
          <v:line id="Line 10" o:spid="_x0000_s1026" o:spt="20" style="position:absolute;left:0pt;margin-left:-0.05pt;margin-top:728.5pt;height:0pt;width:481.9pt;mso-position-vertical-relative:page;z-index:251658240;mso-width-relative:page;mso-height-relative:page;" filled="f" coordsize="21600,21600">
            <v:path arrowok="t"/>
            <v:fill on="f" focussize="0,0"/>
            <v:stroke/>
            <v:imagedata o:title=""/>
            <o:lock v:ext="edit" grouping="f" rotation="f" text="f" aspectratio="f"/>
            <w10:anchorlock/>
          </v:line>
        </w:pict>
      </w:r>
    </w:p>
    <w:p>
      <w:pPr>
        <w:pStyle w:val="125"/>
      </w:pPr>
      <w:bookmarkStart w:id="16" w:name="SY"/>
      <w:r>
        <w:rPr>
          <w:rFonts w:ascii="黑体"/>
        </w:rPr>
        <w:fldChar w:fldCharType="begin">
          <w:ffData>
            <w:name w:val="SY"/>
            <w:enabled/>
            <w:calcOnExit w:val="0"/>
            <w:textInput>
              <w:default w:val="XXXX"/>
              <w:maxLength w:val="4"/>
            </w:textInput>
          </w:ffData>
        </w:fldChar>
      </w:r>
      <w:r>
        <w:rPr>
          <w:rFonts w:ascii="黑体"/>
        </w:rPr>
        <w:instrText xml:space="preserve"> FORMTEXT </w:instrText>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bookmarkStart w:id="17" w:name="SM"/>
      <w:r>
        <w:rPr>
          <w:rFonts w:ascii="黑体"/>
        </w:rPr>
        <w:fldChar w:fldCharType="begin">
          <w:ffData>
            <w:name w:val="SM"/>
            <w:enabled/>
            <w:calcOnExit w:val="0"/>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bookmarkStart w:id="18" w:name="SD"/>
      <w:r>
        <w:rPr>
          <w:rFonts w:ascii="黑体"/>
        </w:rPr>
        <w:fldChar w:fldCharType="begin">
          <w:ffData>
            <w:name w:val="SD"/>
            <w:enabled/>
            <w:calcOnExit w:val="0"/>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rPr>
          <w:rFonts w:hint="eastAsia"/>
        </w:rPr>
        <w:t>实施</w:t>
      </w:r>
    </w:p>
    <w:p>
      <w:pPr>
        <w:pStyle w:val="105"/>
      </w:pPr>
      <w:bookmarkStart w:id="19" w:name="fm"/>
      <w:r>
        <w:rPr>
          <w:w w:val="100"/>
        </w:rPr>
        <w:pict>
          <v:rect id="BAH" o:spid="_x0000_s1027" o:spt="1" style="position:absolute;left:0pt;margin-left:-41.8pt;margin-top:-705.9pt;height:15.6pt;width:68.25pt;z-index:-251653120;mso-width-relative:page;mso-height-relative:page;" stroked="f" coordsize="21600,21600">
            <v:path/>
            <v:fill focussize="0,0"/>
            <v:stroke on="f"/>
            <v:imagedata o:title=""/>
            <o:lock v:ext="edit" grouping="f" rotation="f" text="f" aspectratio="f"/>
          </v:rect>
        </w:pict>
      </w:r>
      <w:r>
        <w:rPr>
          <w:w w:val="100"/>
        </w:rPr>
        <w:pict>
          <v:rect id="RQ" o:spid="_x0000_s1028" o:spt="1" style="position:absolute;left:0pt;margin-left:122.55pt;margin-top:-285.45pt;height:20pt;width:150pt;z-index:-251654144;mso-width-relative:page;mso-height-relative:page;" stroked="f" coordsize="21600,21600">
            <v:path/>
            <v:fill focussize="0,0"/>
            <v:stroke on="f"/>
            <v:imagedata o:title=""/>
            <o:lock v:ext="edit" grouping="f" rotation="f" text="f" aspectratio="f"/>
            <w10:anchorlock/>
          </v:rect>
        </w:pict>
      </w:r>
      <w:r>
        <w:rPr>
          <w:w w:val="100"/>
        </w:rPr>
        <w:pict>
          <v:rect id="LB" o:spid="_x0000_s1029" o:spt="1" style="position:absolute;left:0pt;margin-left:142.55pt;margin-top:-310.45pt;height:24pt;width:100pt;z-index:-251655168;mso-width-relative:page;mso-height-relative:page;" stroked="f" coordsize="21600,21600">
            <v:path/>
            <v:fill focussize="0,0"/>
            <v:stroke on="f"/>
            <v:imagedata o:title=""/>
            <o:lock v:ext="edit" grouping="f" rotation="f" text="f" aspectratio="f"/>
          </v:rect>
        </w:pict>
      </w:r>
      <w:r>
        <w:rPr>
          <w:w w:val="100"/>
        </w:rPr>
        <w:pict>
          <v:rect id="DT" o:spid="_x0000_s1030" o:spt="1" style="position:absolute;left:0pt;margin-left:347.55pt;margin-top:-585.45pt;height:18pt;width:90pt;z-index:-251656192;mso-width-relative:page;mso-height-relative:page;" stroked="f" coordsize="21600,21600">
            <v:path/>
            <v:fill focussize="0,0"/>
            <v:stroke on="f"/>
            <v:imagedata o:title=""/>
            <o:lock v:ext="edit" grouping="f" rotation="f" text="f" aspectratio="f"/>
          </v:rect>
        </w:pict>
      </w:r>
      <w:r>
        <w:rPr>
          <w:w w:val="100"/>
        </w:rPr>
        <w:pict>
          <v:line id="Line 11" o:spid="_x0000_s1031" o:spt="20" style="position:absolute;left:0pt;margin-left:-36.6pt;margin-top:-552.85pt;height:0pt;width:481.9pt;z-index:251659264;mso-width-relative:page;mso-height-relative:page;" filled="f" coordsize="21600,21600">
            <v:path arrowok="t"/>
            <v:fill on="f" focussize="0,0"/>
            <v:stroke/>
            <v:imagedata o:title=""/>
            <o:lock v:ext="edit" grouping="f" rotation="f" text="f" aspectratio="f"/>
          </v:line>
        </w:pict>
      </w:r>
      <w:r>
        <w:fldChar w:fldCharType="begin">
          <w:ffData>
            <w:name w:val="fm"/>
            <w:enabled/>
            <w:calcOnExit w:val="0"/>
            <w:textInput/>
          </w:ffData>
        </w:fldChar>
      </w:r>
      <w:r>
        <w:instrText xml:space="preserve"> FORMTEXT </w:instrText>
      </w:r>
      <w:r>
        <w:fldChar w:fldCharType="separate"/>
      </w:r>
      <w:r>
        <w:rPr>
          <w:rFonts w:hint="eastAsia"/>
        </w:rPr>
        <w:t>云浮市市场监督管理局</w:t>
      </w:r>
      <w:r>
        <w:fldChar w:fldCharType="end"/>
      </w:r>
      <w:bookmarkEnd w:id="19"/>
      <w:r>
        <w:t>   </w:t>
      </w:r>
      <w:r>
        <w:rPr>
          <w:rStyle w:val="131"/>
          <w:rFonts w:hint="eastAsia"/>
        </w:rPr>
        <w:t>发布</w:t>
      </w:r>
    </w:p>
    <w:p>
      <w:pPr>
        <w:pStyle w:val="20"/>
        <w:sectPr>
          <w:pgSz w:w="11906" w:h="16838"/>
          <w:pgMar w:top="567" w:right="850" w:bottom="1134" w:left="1418" w:header="0" w:footer="0" w:gutter="0"/>
          <w:pgNumType w:start="1"/>
          <w:cols w:space="720" w:num="1"/>
          <w:docGrid w:type="lines" w:linePitch="312" w:charSpace="0"/>
        </w:sectPr>
      </w:pPr>
    </w:p>
    <w:p>
      <w:pPr>
        <w:pStyle w:val="106"/>
        <w:rPr>
          <w:rFonts w:hint="eastAsia"/>
        </w:rPr>
      </w:pPr>
      <w:bookmarkStart w:id="20" w:name="_Toc492975132"/>
      <w:bookmarkStart w:id="21" w:name="_Toc492975164"/>
      <w:bookmarkStart w:id="22" w:name="_Toc493060415"/>
      <w:r>
        <w:rPr>
          <w:rFonts w:hint="eastAsia"/>
        </w:rPr>
        <w:t>前</w:t>
      </w:r>
      <w:bookmarkStart w:id="23" w:name="BKQY"/>
      <w:r>
        <w:t>  </w:t>
      </w:r>
      <w:r>
        <w:rPr>
          <w:rFonts w:hint="eastAsia"/>
        </w:rPr>
        <w:t>言</w:t>
      </w:r>
      <w:bookmarkEnd w:id="20"/>
      <w:bookmarkEnd w:id="21"/>
      <w:bookmarkEnd w:id="22"/>
      <w:bookmarkEnd w:id="23"/>
    </w:p>
    <w:p>
      <w:pPr>
        <w:pStyle w:val="20"/>
        <w:rPr>
          <w:rFonts w:hint="eastAsia"/>
        </w:rPr>
      </w:pPr>
      <w:r>
        <w:rPr>
          <w:rFonts w:hint="eastAsia"/>
        </w:rPr>
        <w:t>本标准根据原国家质量监督检验检疫总局颁布的《地理标志产品保护规定》和GB/T 17924-2008</w:t>
      </w:r>
      <w:r>
        <w:rPr>
          <w:rFonts w:hint="eastAsia"/>
          <w:lang w:val="en-US" w:eastAsia="zh-CN"/>
        </w:rPr>
        <w:t xml:space="preserve"> </w:t>
      </w:r>
      <w:r>
        <w:rPr>
          <w:rFonts w:hint="eastAsia"/>
        </w:rPr>
        <w:t>《地理标志产品标准通用要求》而制定。</w:t>
      </w:r>
    </w:p>
    <w:p>
      <w:pPr>
        <w:pStyle w:val="20"/>
        <w:rPr>
          <w:rFonts w:hint="eastAsia"/>
        </w:rPr>
      </w:pPr>
      <w:r>
        <w:rPr>
          <w:rFonts w:hint="eastAsia"/>
        </w:rPr>
        <w:t>本标准附录A为规范性附录。</w:t>
      </w:r>
    </w:p>
    <w:p>
      <w:pPr>
        <w:pStyle w:val="20"/>
        <w:rPr>
          <w:rFonts w:hint="eastAsia"/>
        </w:rPr>
      </w:pPr>
      <w:r>
        <w:rPr>
          <w:rFonts w:hint="eastAsia"/>
        </w:rPr>
        <w:t>本标准按照GB/T 1.1-2009</w:t>
      </w:r>
      <w:r>
        <w:rPr>
          <w:rFonts w:hint="eastAsia"/>
          <w:lang w:val="en-US" w:eastAsia="zh-CN"/>
        </w:rPr>
        <w:t xml:space="preserve"> </w:t>
      </w:r>
      <w:r>
        <w:rPr>
          <w:rFonts w:hint="eastAsia"/>
        </w:rPr>
        <w:t>的规则起草。</w:t>
      </w:r>
    </w:p>
    <w:p>
      <w:pPr>
        <w:pStyle w:val="20"/>
        <w:rPr>
          <w:rFonts w:hint="eastAsia"/>
        </w:rPr>
      </w:pPr>
      <w:r>
        <w:rPr>
          <w:rFonts w:hint="eastAsia"/>
        </w:rPr>
        <w:t>本标准由云浮市市场监督管理局提出。</w:t>
      </w:r>
    </w:p>
    <w:p>
      <w:pPr>
        <w:pStyle w:val="20"/>
        <w:rPr>
          <w:rFonts w:hint="eastAsia"/>
        </w:rPr>
      </w:pPr>
      <w:r>
        <w:rPr>
          <w:rFonts w:hint="eastAsia"/>
        </w:rPr>
        <w:t>本标准起草单位：云浮市宏大农业发展有限公司、云浮市云城区南盛镇人民政府、云浮市云城区农业农村和水务局。</w:t>
      </w:r>
    </w:p>
    <w:p>
      <w:pPr>
        <w:pStyle w:val="20"/>
        <w:rPr>
          <w:rFonts w:hint="eastAsia"/>
        </w:rPr>
      </w:pPr>
      <w:r>
        <w:rPr>
          <w:rFonts w:hint="eastAsia"/>
        </w:rPr>
        <w:t>本标准主要起草人：徐国锦、戴昱周、黄亚天、阮伟浩、李卓东。</w:t>
      </w:r>
    </w:p>
    <w:p>
      <w:pPr>
        <w:pStyle w:val="20"/>
        <w:sectPr>
          <w:headerReference r:id="rId3" w:type="default"/>
          <w:footerReference r:id="rId4" w:type="default"/>
          <w:pgSz w:w="11906" w:h="16838"/>
          <w:pgMar w:top="567" w:right="1134" w:bottom="1134" w:left="1418" w:header="1418" w:footer="1134" w:gutter="0"/>
          <w:pgNumType w:fmt="upperRoman" w:start="1"/>
          <w:cols w:space="720" w:num="1"/>
          <w:formProt w:val="0"/>
          <w:docGrid w:type="lines" w:linePitch="312" w:charSpace="0"/>
        </w:sectPr>
      </w:pPr>
      <w:r>
        <w:rPr>
          <w:rFonts w:hint="eastAsia"/>
        </w:rPr>
        <w:t>本标准为首次发布。</w:t>
      </w:r>
    </w:p>
    <w:p>
      <w:pPr>
        <w:pStyle w:val="54"/>
        <w:rPr>
          <w:rFonts w:hint="eastAsia"/>
        </w:rPr>
      </w:pPr>
      <w:r>
        <w:rPr>
          <w:rFonts w:hint="eastAsia"/>
        </w:rPr>
        <w:t>地</w:t>
      </w:r>
      <w:bookmarkStart w:id="24" w:name="StandardName"/>
      <w:r>
        <w:rPr>
          <w:rFonts w:hint="eastAsia"/>
        </w:rPr>
        <w:t xml:space="preserve">理标志产品  </w:t>
      </w:r>
      <w:bookmarkEnd w:id="24"/>
      <w:r>
        <w:rPr>
          <w:rFonts w:hint="eastAsia"/>
        </w:rPr>
        <w:t>南盛沙糖桔</w:t>
      </w:r>
    </w:p>
    <w:p>
      <w:pPr>
        <w:pStyle w:val="38"/>
        <w:rPr>
          <w:rFonts w:hint="eastAsia"/>
        </w:rPr>
      </w:pPr>
      <w:bookmarkStart w:id="25" w:name="_Toc492975165"/>
      <w:bookmarkStart w:id="26" w:name="_Toc493060416"/>
      <w:bookmarkStart w:id="27" w:name="_Toc492975133"/>
      <w:r>
        <w:rPr>
          <w:rFonts w:hint="eastAsia"/>
        </w:rPr>
        <w:t>范围</w:t>
      </w:r>
      <w:bookmarkEnd w:id="25"/>
      <w:bookmarkEnd w:id="26"/>
      <w:bookmarkEnd w:id="27"/>
    </w:p>
    <w:p>
      <w:pPr>
        <w:pStyle w:val="20"/>
        <w:rPr>
          <w:rFonts w:hint="eastAsia"/>
        </w:rPr>
      </w:pPr>
      <w:r>
        <w:rPr>
          <w:rFonts w:hint="eastAsia"/>
        </w:rPr>
        <w:t>本标准规定了南盛沙糖桔的地理标志产品保护范围、术语和定义、产地环境、栽培技术、质量要求、 试验方法、检验规则和标志、包装、运输、贮存。</w:t>
      </w:r>
    </w:p>
    <w:p>
      <w:pPr>
        <w:pStyle w:val="20"/>
        <w:rPr>
          <w:rFonts w:hint="eastAsia"/>
        </w:rPr>
      </w:pPr>
      <w:r>
        <w:rPr>
          <w:rFonts w:hint="eastAsia"/>
        </w:rPr>
        <w:t>本标准适用于原国家质量监督检验检疫总局根据《地理标志产品保护规定》批准保护的南盛沙糖桔。</w:t>
      </w:r>
    </w:p>
    <w:p>
      <w:pPr>
        <w:pStyle w:val="38"/>
        <w:rPr>
          <w:rFonts w:hint="eastAsia"/>
        </w:rPr>
      </w:pPr>
      <w:bookmarkStart w:id="28" w:name="_Toc492975134"/>
      <w:bookmarkStart w:id="29" w:name="_Toc492975166"/>
      <w:bookmarkStart w:id="30" w:name="_Toc493060417"/>
      <w:r>
        <w:rPr>
          <w:rFonts w:hint="eastAsia"/>
        </w:rPr>
        <w:t>规范性引用文件</w:t>
      </w:r>
      <w:bookmarkEnd w:id="28"/>
      <w:bookmarkEnd w:id="29"/>
      <w:bookmarkEnd w:id="30"/>
    </w:p>
    <w:p>
      <w:pPr>
        <w:pStyle w:val="20"/>
        <w:rPr>
          <w:rFonts w:hint="eastAsia"/>
        </w:rPr>
      </w:pPr>
      <w:r>
        <w:rPr>
          <w:rFonts w:hint="eastAsia"/>
        </w:rPr>
        <w:t>下列文件对于本文件的应用是必不可少的。凡是注日期的引用文件，仅所注日期的版本适用于本文件。凡是不注日期的引用文件，其最新版本（包括所有的修改单）适用于本文件。</w:t>
      </w:r>
    </w:p>
    <w:p>
      <w:pPr>
        <w:pStyle w:val="20"/>
        <w:rPr>
          <w:rFonts w:hint="eastAsia"/>
        </w:rPr>
      </w:pPr>
      <w:r>
        <w:rPr>
          <w:rFonts w:hint="eastAsia"/>
        </w:rPr>
        <w:t>GB/T 191</w:t>
      </w:r>
      <w:r>
        <w:rPr>
          <w:rFonts w:hint="eastAsia"/>
          <w:lang w:val="en-US" w:eastAsia="zh-CN"/>
        </w:rPr>
        <w:t xml:space="preserve">  </w:t>
      </w:r>
      <w:r>
        <w:rPr>
          <w:rFonts w:hint="eastAsia"/>
        </w:rPr>
        <w:t>包装储运图示标志</w:t>
      </w:r>
    </w:p>
    <w:p>
      <w:pPr>
        <w:pStyle w:val="20"/>
        <w:rPr>
          <w:rFonts w:hint="eastAsia"/>
        </w:rPr>
      </w:pPr>
      <w:r>
        <w:rPr>
          <w:rFonts w:hint="eastAsia"/>
        </w:rPr>
        <w:t>GB 5009.11</w:t>
      </w:r>
      <w:r>
        <w:rPr>
          <w:rFonts w:hint="eastAsia"/>
          <w:lang w:val="en-US" w:eastAsia="zh-CN"/>
        </w:rPr>
        <w:t xml:space="preserve">  </w:t>
      </w:r>
      <w:r>
        <w:rPr>
          <w:rFonts w:hint="eastAsia"/>
        </w:rPr>
        <w:t>食品安全国家标准 食品中总砷及无机砷的测定</w:t>
      </w:r>
    </w:p>
    <w:p>
      <w:pPr>
        <w:pStyle w:val="20"/>
        <w:rPr>
          <w:rFonts w:hint="eastAsia"/>
        </w:rPr>
      </w:pPr>
      <w:r>
        <w:rPr>
          <w:rFonts w:hint="eastAsia"/>
        </w:rPr>
        <w:t>GB 5009.12</w:t>
      </w:r>
      <w:r>
        <w:rPr>
          <w:rFonts w:hint="eastAsia"/>
          <w:lang w:val="en-US" w:eastAsia="zh-CN"/>
        </w:rPr>
        <w:t xml:space="preserve">  </w:t>
      </w:r>
      <w:r>
        <w:rPr>
          <w:rFonts w:hint="eastAsia"/>
        </w:rPr>
        <w:t>食品安全国家标准 食品中铅的测定</w:t>
      </w:r>
    </w:p>
    <w:p>
      <w:pPr>
        <w:pStyle w:val="20"/>
        <w:rPr>
          <w:rFonts w:hint="eastAsia"/>
        </w:rPr>
      </w:pPr>
      <w:r>
        <w:rPr>
          <w:rFonts w:hint="eastAsia"/>
        </w:rPr>
        <w:t>GB 5009.15</w:t>
      </w:r>
      <w:r>
        <w:rPr>
          <w:rFonts w:hint="eastAsia"/>
          <w:lang w:val="en-US" w:eastAsia="zh-CN"/>
        </w:rPr>
        <w:t xml:space="preserve">  </w:t>
      </w:r>
      <w:r>
        <w:rPr>
          <w:rFonts w:hint="eastAsia"/>
        </w:rPr>
        <w:t>食品安全国家标准 食品中镉的测定</w:t>
      </w:r>
    </w:p>
    <w:p>
      <w:pPr>
        <w:pStyle w:val="20"/>
        <w:rPr>
          <w:rFonts w:hint="eastAsia"/>
        </w:rPr>
      </w:pPr>
      <w:r>
        <w:rPr>
          <w:rFonts w:hint="eastAsia"/>
        </w:rPr>
        <w:t>GB 5009.17</w:t>
      </w:r>
      <w:r>
        <w:rPr>
          <w:rFonts w:hint="eastAsia"/>
          <w:lang w:val="en-US" w:eastAsia="zh-CN"/>
        </w:rPr>
        <w:t xml:space="preserve">  </w:t>
      </w:r>
      <w:r>
        <w:rPr>
          <w:rFonts w:hint="eastAsia"/>
        </w:rPr>
        <w:t>食品安全国家标准 食品中总汞及有机汞的测定</w:t>
      </w:r>
    </w:p>
    <w:p>
      <w:pPr>
        <w:pStyle w:val="20"/>
        <w:rPr>
          <w:rFonts w:hint="eastAsia"/>
        </w:rPr>
      </w:pPr>
      <w:r>
        <w:rPr>
          <w:rFonts w:hint="eastAsia"/>
        </w:rPr>
        <w:t>GB/T 5009.20</w:t>
      </w:r>
      <w:r>
        <w:rPr>
          <w:rFonts w:hint="eastAsia"/>
          <w:lang w:val="en-US" w:eastAsia="zh-CN"/>
        </w:rPr>
        <w:t xml:space="preserve">  </w:t>
      </w:r>
      <w:r>
        <w:rPr>
          <w:rFonts w:hint="eastAsia"/>
        </w:rPr>
        <w:t>食品中有机磷农药残留量的测定</w:t>
      </w:r>
    </w:p>
    <w:p>
      <w:pPr>
        <w:pStyle w:val="20"/>
        <w:rPr>
          <w:rFonts w:hint="eastAsia"/>
        </w:rPr>
      </w:pPr>
      <w:r>
        <w:rPr>
          <w:rFonts w:hint="eastAsia"/>
        </w:rPr>
        <w:t>GB/T 5009.38</w:t>
      </w:r>
      <w:r>
        <w:rPr>
          <w:rFonts w:hint="eastAsia"/>
          <w:lang w:val="en-US" w:eastAsia="zh-CN"/>
        </w:rPr>
        <w:t xml:space="preserve">  </w:t>
      </w:r>
      <w:r>
        <w:rPr>
          <w:rFonts w:hint="eastAsia"/>
        </w:rPr>
        <w:t>蔬菜、水果卫生标准的分析方法</w:t>
      </w:r>
    </w:p>
    <w:p>
      <w:pPr>
        <w:pStyle w:val="20"/>
        <w:rPr>
          <w:rFonts w:hint="eastAsia"/>
        </w:rPr>
      </w:pPr>
      <w:r>
        <w:rPr>
          <w:rFonts w:hint="eastAsia"/>
        </w:rPr>
        <w:t>GB/T 5009.146</w:t>
      </w:r>
      <w:r>
        <w:rPr>
          <w:rFonts w:hint="eastAsia"/>
          <w:lang w:val="en-US" w:eastAsia="zh-CN"/>
        </w:rPr>
        <w:t xml:space="preserve">  </w:t>
      </w:r>
      <w:r>
        <w:rPr>
          <w:rFonts w:hint="eastAsia"/>
        </w:rPr>
        <w:t>植物性食品中有机氯和拟除虫菊酯类农药多种残留量的测定</w:t>
      </w:r>
    </w:p>
    <w:p>
      <w:pPr>
        <w:pStyle w:val="20"/>
        <w:rPr>
          <w:rFonts w:hint="eastAsia"/>
        </w:rPr>
      </w:pPr>
      <w:r>
        <w:rPr>
          <w:rFonts w:hint="eastAsia"/>
        </w:rPr>
        <w:t>GB/T 6543</w:t>
      </w:r>
      <w:r>
        <w:rPr>
          <w:rFonts w:hint="eastAsia"/>
          <w:lang w:val="en-US" w:eastAsia="zh-CN"/>
        </w:rPr>
        <w:t xml:space="preserve">  </w:t>
      </w:r>
      <w:r>
        <w:rPr>
          <w:rFonts w:hint="eastAsia"/>
        </w:rPr>
        <w:t>运输包装用单瓦楞纸箱和双瓦楞纸箱</w:t>
      </w:r>
    </w:p>
    <w:p>
      <w:pPr>
        <w:pStyle w:val="20"/>
        <w:rPr>
          <w:rFonts w:hint="eastAsia"/>
        </w:rPr>
      </w:pPr>
      <w:r>
        <w:rPr>
          <w:rFonts w:hint="eastAsia"/>
        </w:rPr>
        <w:t>GB/T 8210</w:t>
      </w:r>
      <w:r>
        <w:rPr>
          <w:rFonts w:hint="eastAsia"/>
          <w:lang w:val="en-US" w:eastAsia="zh-CN"/>
        </w:rPr>
        <w:t xml:space="preserve">  </w:t>
      </w:r>
      <w:r>
        <w:rPr>
          <w:rFonts w:hint="eastAsia"/>
        </w:rPr>
        <w:t xml:space="preserve">出口柑桔鲜果检验方法 </w:t>
      </w:r>
    </w:p>
    <w:p>
      <w:pPr>
        <w:pStyle w:val="20"/>
        <w:rPr>
          <w:rFonts w:hint="eastAsia"/>
        </w:rPr>
      </w:pPr>
      <w:r>
        <w:rPr>
          <w:rFonts w:hint="eastAsia"/>
        </w:rPr>
        <w:t>GB/T 8855</w:t>
      </w:r>
      <w:r>
        <w:rPr>
          <w:rFonts w:hint="eastAsia"/>
          <w:lang w:val="en-US" w:eastAsia="zh-CN"/>
        </w:rPr>
        <w:t xml:space="preserve">  </w:t>
      </w:r>
      <w:r>
        <w:rPr>
          <w:rFonts w:hint="eastAsia"/>
        </w:rPr>
        <w:t>新鲜水果和蔬菜取样方法</w:t>
      </w:r>
    </w:p>
    <w:p>
      <w:pPr>
        <w:pStyle w:val="20"/>
        <w:rPr>
          <w:rFonts w:hint="eastAsia"/>
        </w:rPr>
      </w:pPr>
      <w:r>
        <w:rPr>
          <w:rFonts w:hint="eastAsia"/>
        </w:rPr>
        <w:t>GB/T 9659</w:t>
      </w:r>
      <w:r>
        <w:rPr>
          <w:rFonts w:hint="eastAsia"/>
          <w:lang w:val="en-US" w:eastAsia="zh-CN"/>
        </w:rPr>
        <w:t xml:space="preserve">  </w:t>
      </w:r>
      <w:r>
        <w:rPr>
          <w:rFonts w:hint="eastAsia"/>
        </w:rPr>
        <w:t>柑桔嫁接苗</w:t>
      </w:r>
    </w:p>
    <w:p>
      <w:pPr>
        <w:pStyle w:val="20"/>
        <w:rPr>
          <w:rFonts w:hint="eastAsia"/>
        </w:rPr>
      </w:pPr>
      <w:r>
        <w:rPr>
          <w:rFonts w:hint="eastAsia"/>
        </w:rPr>
        <w:t>GB/T 13607</w:t>
      </w:r>
      <w:r>
        <w:rPr>
          <w:rFonts w:hint="eastAsia"/>
          <w:lang w:val="en-US" w:eastAsia="zh-CN"/>
        </w:rPr>
        <w:t xml:space="preserve">  </w:t>
      </w:r>
      <w:r>
        <w:rPr>
          <w:rFonts w:hint="eastAsia"/>
        </w:rPr>
        <w:t>苹果、柑桔包装</w:t>
      </w:r>
    </w:p>
    <w:p>
      <w:pPr>
        <w:pStyle w:val="20"/>
        <w:rPr>
          <w:rFonts w:hint="eastAsia"/>
        </w:rPr>
      </w:pPr>
      <w:r>
        <w:rPr>
          <w:rFonts w:hint="eastAsia"/>
        </w:rPr>
        <w:t>NY/T 869</w:t>
      </w:r>
      <w:r>
        <w:rPr>
          <w:rFonts w:hint="eastAsia"/>
          <w:lang w:val="en-US" w:eastAsia="zh-CN"/>
        </w:rPr>
        <w:t xml:space="preserve">  </w:t>
      </w:r>
      <w:r>
        <w:rPr>
          <w:rFonts w:hint="eastAsia"/>
        </w:rPr>
        <w:t>沙糖橘</w:t>
      </w:r>
    </w:p>
    <w:p>
      <w:pPr>
        <w:pStyle w:val="20"/>
        <w:rPr>
          <w:rFonts w:hint="eastAsia"/>
        </w:rPr>
      </w:pPr>
      <w:r>
        <w:rPr>
          <w:rFonts w:hint="eastAsia"/>
        </w:rPr>
        <w:t>NY/T 1189 </w:t>
      </w:r>
      <w:r>
        <w:rPr>
          <w:rFonts w:hint="eastAsia"/>
          <w:lang w:val="en-US" w:eastAsia="zh-CN"/>
        </w:rPr>
        <w:t xml:space="preserve">  </w:t>
      </w:r>
      <w:r>
        <w:rPr>
          <w:rFonts w:hint="eastAsia"/>
        </w:rPr>
        <w:t>柑橘储藏</w:t>
      </w:r>
    </w:p>
    <w:p>
      <w:pPr>
        <w:pStyle w:val="20"/>
        <w:rPr>
          <w:rFonts w:hint="eastAsia"/>
        </w:rPr>
      </w:pPr>
      <w:r>
        <w:rPr>
          <w:rFonts w:hint="eastAsia"/>
        </w:rPr>
        <w:t>NY/T 501</w:t>
      </w:r>
      <w:r>
        <w:rPr>
          <w:rFonts w:hint="eastAsia"/>
          <w:lang w:val="en-US" w:eastAsia="zh-CN"/>
        </w:rPr>
        <w:t xml:space="preserve">0  </w:t>
      </w:r>
      <w:r>
        <w:rPr>
          <w:rFonts w:hint="eastAsia"/>
        </w:rPr>
        <w:t>无公害农产品 种植业产地环境条件</w:t>
      </w:r>
    </w:p>
    <w:p>
      <w:pPr>
        <w:pStyle w:val="38"/>
        <w:rPr>
          <w:rFonts w:hint="eastAsia"/>
        </w:rPr>
      </w:pPr>
      <w:bookmarkStart w:id="31" w:name="_Toc493060418"/>
      <w:bookmarkStart w:id="32" w:name="_Toc492975168"/>
      <w:bookmarkStart w:id="33" w:name="_Toc492975136"/>
      <w:r>
        <w:rPr>
          <w:rFonts w:hint="eastAsia"/>
        </w:rPr>
        <w:t>术语和定义</w:t>
      </w:r>
      <w:bookmarkEnd w:id="31"/>
      <w:bookmarkEnd w:id="32"/>
      <w:bookmarkEnd w:id="33"/>
    </w:p>
    <w:p>
      <w:pPr>
        <w:pStyle w:val="20"/>
        <w:rPr>
          <w:rFonts w:hint="eastAsia"/>
        </w:rPr>
      </w:pPr>
      <w:r>
        <w:rPr>
          <w:rFonts w:hint="eastAsia"/>
        </w:rPr>
        <w:t>NY/T 869</w:t>
      </w:r>
      <w:r>
        <w:rPr>
          <w:rFonts w:hint="eastAsia"/>
          <w:lang w:val="en-US" w:eastAsia="zh-CN"/>
        </w:rPr>
        <w:t xml:space="preserve"> </w:t>
      </w:r>
      <w:r>
        <w:rPr>
          <w:rFonts w:hint="eastAsia"/>
        </w:rPr>
        <w:t>界定的以及下列术语和定义适用于本文件。</w:t>
      </w:r>
    </w:p>
    <w:p>
      <w:pPr>
        <w:pStyle w:val="36"/>
        <w:rPr>
          <w:rFonts w:hint="eastAsia"/>
        </w:rPr>
      </w:pPr>
      <w:bookmarkStart w:id="34" w:name="_Toc492975137"/>
      <w:bookmarkEnd w:id="34"/>
    </w:p>
    <w:p>
      <w:pPr>
        <w:ind w:firstLine="420" w:firstLineChars="200"/>
        <w:rPr>
          <w:rFonts w:hint="eastAsia" w:ascii="黑体" w:hAnsi="宋体" w:eastAsia="黑体" w:cs="宋体"/>
          <w:kern w:val="0"/>
          <w:szCs w:val="21"/>
        </w:rPr>
      </w:pPr>
      <w:r>
        <w:rPr>
          <w:rFonts w:hint="eastAsia" w:ascii="黑体" w:hAnsi="宋体" w:eastAsia="黑体" w:cs="宋体"/>
          <w:kern w:val="0"/>
          <w:szCs w:val="21"/>
        </w:rPr>
        <w:t xml:space="preserve">果面洁净 </w:t>
      </w:r>
      <w:r>
        <w:rPr>
          <w:rFonts w:hint="eastAsia" w:ascii="黑体" w:hAnsi="宋体" w:eastAsia="黑体" w:cs="宋体"/>
          <w:b/>
          <w:bCs/>
          <w:kern w:val="0"/>
          <w:szCs w:val="21"/>
        </w:rPr>
        <w:t>fruit surface clean</w:t>
      </w:r>
    </w:p>
    <w:p>
      <w:pPr>
        <w:ind w:firstLine="420" w:firstLineChars="200"/>
        <w:rPr>
          <w:rFonts w:hint="eastAsia"/>
          <w:szCs w:val="21"/>
        </w:rPr>
      </w:pPr>
      <w:r>
        <w:rPr>
          <w:rFonts w:hint="eastAsia" w:ascii="宋体" w:hAnsi="宋体"/>
          <w:szCs w:val="21"/>
        </w:rPr>
        <w:t>无药迹、泥沙、灰尘等污染。</w:t>
      </w:r>
    </w:p>
    <w:p>
      <w:pPr>
        <w:pStyle w:val="36"/>
        <w:rPr>
          <w:rFonts w:hint="eastAsia"/>
        </w:rPr>
      </w:pPr>
      <w:bookmarkStart w:id="35" w:name="_Toc492975138"/>
      <w:bookmarkEnd w:id="35"/>
    </w:p>
    <w:p>
      <w:pPr>
        <w:widowControl/>
        <w:autoSpaceDE w:val="0"/>
        <w:autoSpaceDN w:val="0"/>
        <w:ind w:firstLine="420" w:firstLineChars="200"/>
        <w:rPr>
          <w:rFonts w:hint="eastAsia" w:ascii="黑体" w:hAnsi="宋体" w:eastAsia="黑体" w:cs="宋体"/>
          <w:kern w:val="0"/>
          <w:szCs w:val="21"/>
        </w:rPr>
      </w:pPr>
      <w:r>
        <w:rPr>
          <w:rFonts w:hint="eastAsia" w:ascii="黑体" w:hAnsi="宋体" w:eastAsia="黑体" w:cs="宋体"/>
          <w:kern w:val="0"/>
          <w:szCs w:val="21"/>
        </w:rPr>
        <w:t xml:space="preserve">腐烂 </w:t>
      </w:r>
      <w:r>
        <w:rPr>
          <w:rFonts w:hint="eastAsia" w:ascii="黑体" w:hAnsi="宋体" w:eastAsia="黑体" w:cs="宋体"/>
          <w:b/>
          <w:bCs/>
          <w:kern w:val="0"/>
          <w:szCs w:val="21"/>
        </w:rPr>
        <w:t>decay</w:t>
      </w:r>
    </w:p>
    <w:p>
      <w:pPr>
        <w:widowControl/>
        <w:autoSpaceDE w:val="0"/>
        <w:autoSpaceDN w:val="0"/>
        <w:ind w:firstLine="420" w:firstLineChars="200"/>
        <w:rPr>
          <w:rFonts w:hint="eastAsia" w:ascii="Arial" w:hAnsi="Arial" w:cs="Arial"/>
          <w:color w:val="000000"/>
          <w:kern w:val="0"/>
          <w:szCs w:val="21"/>
        </w:rPr>
      </w:pPr>
      <w:r>
        <w:rPr>
          <w:rFonts w:hint="eastAsia" w:ascii="Arial" w:hAnsi="Arial" w:cs="Arial"/>
          <w:color w:val="000000"/>
          <w:kern w:val="0"/>
          <w:szCs w:val="21"/>
        </w:rPr>
        <w:t>果实腐败及霉变</w:t>
      </w:r>
      <w:r>
        <w:rPr>
          <w:rFonts w:ascii="Arial" w:hAnsi="Arial" w:cs="Arial"/>
          <w:color w:val="000000"/>
          <w:kern w:val="0"/>
          <w:szCs w:val="21"/>
        </w:rPr>
        <w:t>。</w:t>
      </w:r>
    </w:p>
    <w:p>
      <w:pPr>
        <w:pStyle w:val="36"/>
        <w:rPr>
          <w:rFonts w:hint="eastAsia"/>
        </w:rPr>
      </w:pPr>
      <w:bookmarkStart w:id="36" w:name="_Toc492975139"/>
      <w:bookmarkEnd w:id="36"/>
    </w:p>
    <w:p>
      <w:pPr>
        <w:widowControl/>
        <w:autoSpaceDE w:val="0"/>
        <w:autoSpaceDN w:val="0"/>
        <w:ind w:firstLine="420" w:firstLineChars="200"/>
        <w:rPr>
          <w:rFonts w:ascii="黑体" w:hAnsi="宋体" w:eastAsia="黑体" w:cs="宋体"/>
          <w:b/>
          <w:bCs/>
          <w:kern w:val="0"/>
          <w:szCs w:val="21"/>
        </w:rPr>
      </w:pPr>
      <w:r>
        <w:rPr>
          <w:rFonts w:hint="eastAsia" w:ascii="黑体" w:hAnsi="宋体" w:eastAsia="黑体" w:cs="宋体"/>
          <w:kern w:val="0"/>
          <w:szCs w:val="21"/>
        </w:rPr>
        <w:t xml:space="preserve">机械伤 </w:t>
      </w:r>
      <w:r>
        <w:rPr>
          <w:rFonts w:hint="eastAsia" w:ascii="黑体" w:hAnsi="宋体" w:eastAsia="黑体" w:cs="宋体"/>
          <w:b/>
          <w:bCs/>
          <w:kern w:val="0"/>
          <w:szCs w:val="21"/>
        </w:rPr>
        <w:t>mechanical injury</w:t>
      </w:r>
    </w:p>
    <w:p>
      <w:pPr>
        <w:pStyle w:val="20"/>
        <w:rPr>
          <w:rFonts w:hint="eastAsia" w:ascii="Arial" w:hAnsi="Arial" w:cs="Arial"/>
          <w:color w:val="000000"/>
          <w:szCs w:val="21"/>
        </w:rPr>
      </w:pPr>
      <w:r>
        <w:rPr>
          <w:rFonts w:hint="eastAsia" w:ascii="Arial" w:hAnsi="Arial" w:cs="Arial"/>
          <w:color w:val="000000"/>
          <w:szCs w:val="21"/>
        </w:rPr>
        <w:t>果实被压或摩擦等损伤</w:t>
      </w:r>
      <w:r>
        <w:rPr>
          <w:rFonts w:ascii="Arial" w:hAnsi="Arial" w:cs="Arial"/>
          <w:color w:val="000000"/>
          <w:szCs w:val="21"/>
        </w:rPr>
        <w:t>。</w:t>
      </w:r>
    </w:p>
    <w:p>
      <w:pPr>
        <w:pStyle w:val="36"/>
        <w:rPr>
          <w:rFonts w:hint="eastAsia"/>
        </w:rPr>
      </w:pPr>
      <w:bookmarkStart w:id="37" w:name="_Toc492975140"/>
      <w:bookmarkEnd w:id="37"/>
    </w:p>
    <w:p>
      <w:pPr>
        <w:widowControl/>
        <w:autoSpaceDE w:val="0"/>
        <w:autoSpaceDN w:val="0"/>
        <w:ind w:firstLine="420" w:firstLineChars="200"/>
        <w:rPr>
          <w:rFonts w:ascii="黑体" w:hAnsi="宋体" w:eastAsia="黑体" w:cs="宋体"/>
          <w:b/>
          <w:bCs/>
          <w:kern w:val="0"/>
          <w:szCs w:val="21"/>
        </w:rPr>
      </w:pPr>
      <w:r>
        <w:rPr>
          <w:rFonts w:hint="eastAsia" w:ascii="黑体" w:hAnsi="宋体" w:eastAsia="黑体" w:cs="宋体"/>
          <w:kern w:val="0"/>
          <w:szCs w:val="21"/>
        </w:rPr>
        <w:t xml:space="preserve">褐斑 </w:t>
      </w:r>
      <w:r>
        <w:rPr>
          <w:rFonts w:hint="eastAsia" w:ascii="黑体" w:hAnsi="宋体" w:eastAsia="黑体" w:cs="宋体"/>
          <w:b/>
          <w:bCs/>
          <w:kern w:val="0"/>
          <w:szCs w:val="21"/>
        </w:rPr>
        <w:t>speckle</w:t>
      </w:r>
    </w:p>
    <w:p>
      <w:pPr>
        <w:pStyle w:val="20"/>
        <w:rPr>
          <w:rFonts w:hint="eastAsia" w:ascii="Arial" w:hAnsi="Arial" w:cs="Arial"/>
          <w:color w:val="000000"/>
          <w:szCs w:val="21"/>
        </w:rPr>
      </w:pPr>
      <w:r>
        <w:rPr>
          <w:rFonts w:hint="eastAsia" w:ascii="Arial" w:hAnsi="Arial" w:cs="Arial"/>
          <w:color w:val="000000"/>
          <w:szCs w:val="21"/>
        </w:rPr>
        <w:t>果实表皮层呈褐色凹陷干缩斑痕，又称干疤。</w:t>
      </w:r>
    </w:p>
    <w:p>
      <w:pPr>
        <w:pStyle w:val="36"/>
        <w:rPr>
          <w:rFonts w:hint="eastAsia"/>
        </w:rPr>
      </w:pPr>
    </w:p>
    <w:p>
      <w:pPr>
        <w:widowControl/>
        <w:autoSpaceDE w:val="0"/>
        <w:autoSpaceDN w:val="0"/>
        <w:ind w:firstLine="420" w:firstLineChars="200"/>
        <w:rPr>
          <w:rFonts w:ascii="黑体" w:hAnsi="宋体" w:eastAsia="黑体" w:cs="宋体"/>
          <w:b/>
          <w:bCs/>
          <w:kern w:val="0"/>
          <w:szCs w:val="21"/>
        </w:rPr>
      </w:pPr>
      <w:r>
        <w:rPr>
          <w:rFonts w:hint="eastAsia" w:ascii="黑体" w:hAnsi="宋体" w:eastAsia="黑体" w:cs="宋体"/>
          <w:kern w:val="0"/>
          <w:szCs w:val="21"/>
        </w:rPr>
        <w:t xml:space="preserve">容许度 </w:t>
      </w:r>
      <w:r>
        <w:rPr>
          <w:rFonts w:hint="eastAsia" w:ascii="黑体" w:hAnsi="宋体" w:eastAsia="黑体" w:cs="宋体"/>
          <w:b/>
          <w:bCs/>
          <w:kern w:val="0"/>
          <w:szCs w:val="21"/>
        </w:rPr>
        <w:t>allows degrees</w:t>
      </w:r>
    </w:p>
    <w:p>
      <w:pPr>
        <w:pStyle w:val="20"/>
        <w:rPr>
          <w:rFonts w:hint="eastAsia" w:ascii="Arial" w:hAnsi="Arial" w:cs="Arial"/>
          <w:color w:val="000000"/>
          <w:szCs w:val="21"/>
        </w:rPr>
      </w:pPr>
      <w:r>
        <w:rPr>
          <w:rFonts w:hint="eastAsia" w:ascii="Arial" w:hAnsi="Arial" w:cs="Arial"/>
          <w:color w:val="000000"/>
          <w:szCs w:val="21"/>
        </w:rPr>
        <w:t>在等级规定范围内，允许出现的偏差。</w:t>
      </w:r>
    </w:p>
    <w:p>
      <w:pPr>
        <w:pStyle w:val="36"/>
        <w:rPr>
          <w:rFonts w:hint="eastAsia"/>
        </w:rPr>
      </w:pPr>
    </w:p>
    <w:p>
      <w:pPr>
        <w:widowControl/>
        <w:autoSpaceDE w:val="0"/>
        <w:autoSpaceDN w:val="0"/>
        <w:ind w:firstLine="420" w:firstLineChars="200"/>
        <w:rPr>
          <w:rFonts w:ascii="黑体" w:hAnsi="宋体" w:eastAsia="黑体" w:cs="宋体"/>
          <w:b/>
          <w:bCs/>
          <w:kern w:val="0"/>
          <w:szCs w:val="21"/>
        </w:rPr>
      </w:pPr>
      <w:r>
        <w:rPr>
          <w:rFonts w:hint="eastAsia" w:ascii="黑体" w:hAnsi="宋体" w:eastAsia="黑体" w:cs="宋体"/>
          <w:kern w:val="0"/>
          <w:szCs w:val="21"/>
        </w:rPr>
        <w:t xml:space="preserve">果实横径 </w:t>
      </w:r>
      <w:r>
        <w:rPr>
          <w:rFonts w:hint="eastAsia" w:ascii="黑体" w:hAnsi="宋体" w:eastAsia="黑体" w:cs="宋体"/>
          <w:b/>
          <w:bCs/>
          <w:kern w:val="0"/>
          <w:szCs w:val="21"/>
        </w:rPr>
        <w:t>fruit diameter</w:t>
      </w:r>
    </w:p>
    <w:p>
      <w:pPr>
        <w:pStyle w:val="20"/>
        <w:rPr>
          <w:rFonts w:hint="eastAsia" w:ascii="Arial" w:hAnsi="Arial" w:cs="Arial"/>
          <w:color w:val="000000"/>
          <w:szCs w:val="21"/>
        </w:rPr>
      </w:pPr>
      <w:r>
        <w:rPr>
          <w:rFonts w:hint="eastAsia" w:ascii="Arial" w:hAnsi="Arial" w:cs="Arial"/>
          <w:color w:val="000000"/>
          <w:szCs w:val="21"/>
        </w:rPr>
        <w:t>果实赤道线横切面的直径，以毫米计。</w:t>
      </w:r>
    </w:p>
    <w:p>
      <w:pPr>
        <w:pStyle w:val="36"/>
        <w:rPr>
          <w:rFonts w:hint="eastAsia"/>
        </w:rPr>
      </w:pPr>
    </w:p>
    <w:p>
      <w:pPr>
        <w:widowControl/>
        <w:autoSpaceDE w:val="0"/>
        <w:autoSpaceDN w:val="0"/>
        <w:ind w:firstLine="420" w:firstLineChars="200"/>
        <w:rPr>
          <w:rFonts w:ascii="黑体" w:hAnsi="宋体" w:eastAsia="黑体" w:cs="宋体"/>
          <w:b/>
          <w:bCs/>
          <w:kern w:val="0"/>
          <w:szCs w:val="21"/>
        </w:rPr>
      </w:pPr>
      <w:r>
        <w:rPr>
          <w:rFonts w:hint="eastAsia" w:ascii="黑体" w:hAnsi="宋体" w:eastAsia="黑体" w:cs="宋体"/>
          <w:kern w:val="0"/>
          <w:szCs w:val="21"/>
        </w:rPr>
        <w:t xml:space="preserve">可溶性固形物 </w:t>
      </w:r>
      <w:r>
        <w:rPr>
          <w:rFonts w:hint="eastAsia" w:ascii="黑体" w:hAnsi="宋体" w:eastAsia="黑体" w:cs="宋体"/>
          <w:b/>
          <w:bCs/>
          <w:kern w:val="0"/>
          <w:szCs w:val="21"/>
        </w:rPr>
        <w:t>total soluble solids;TSS</w:t>
      </w:r>
    </w:p>
    <w:p>
      <w:pPr>
        <w:pStyle w:val="20"/>
        <w:rPr>
          <w:rFonts w:hint="eastAsia" w:ascii="Arial" w:hAnsi="Arial" w:cs="Arial"/>
          <w:color w:val="000000"/>
          <w:szCs w:val="21"/>
        </w:rPr>
      </w:pPr>
      <w:r>
        <w:rPr>
          <w:rFonts w:hint="eastAsia" w:ascii="Arial" w:hAnsi="Arial" w:cs="Arial"/>
          <w:color w:val="000000"/>
          <w:szCs w:val="21"/>
        </w:rPr>
        <w:t>果汁中能溶于糖、酸、维生素、矿物质等，以百分率表示。</w:t>
      </w:r>
    </w:p>
    <w:p>
      <w:pPr>
        <w:pStyle w:val="36"/>
        <w:rPr>
          <w:rFonts w:hint="eastAsia"/>
        </w:rPr>
      </w:pPr>
    </w:p>
    <w:p>
      <w:pPr>
        <w:widowControl/>
        <w:autoSpaceDE w:val="0"/>
        <w:autoSpaceDN w:val="0"/>
        <w:ind w:firstLine="420" w:firstLineChars="200"/>
        <w:rPr>
          <w:rFonts w:ascii="黑体" w:hAnsi="宋体" w:eastAsia="黑体" w:cs="宋体"/>
          <w:b/>
          <w:bCs/>
          <w:kern w:val="0"/>
          <w:szCs w:val="21"/>
        </w:rPr>
      </w:pPr>
      <w:r>
        <w:rPr>
          <w:rFonts w:hint="eastAsia" w:ascii="黑体" w:hAnsi="宋体" w:eastAsia="黑体" w:cs="宋体"/>
          <w:kern w:val="0"/>
          <w:szCs w:val="21"/>
        </w:rPr>
        <w:t xml:space="preserve">总酸 </w:t>
      </w:r>
      <w:r>
        <w:rPr>
          <w:rFonts w:hint="eastAsia" w:ascii="黑体" w:hAnsi="宋体" w:eastAsia="黑体" w:cs="宋体"/>
          <w:b/>
          <w:bCs/>
          <w:kern w:val="0"/>
          <w:szCs w:val="21"/>
        </w:rPr>
        <w:t>total acid;TA</w:t>
      </w:r>
    </w:p>
    <w:p>
      <w:pPr>
        <w:pStyle w:val="20"/>
        <w:rPr>
          <w:rFonts w:hint="eastAsia" w:ascii="Arial" w:hAnsi="Arial" w:cs="Arial"/>
          <w:color w:val="000000"/>
          <w:szCs w:val="21"/>
        </w:rPr>
      </w:pPr>
      <w:r>
        <w:rPr>
          <w:rFonts w:hint="eastAsia" w:ascii="Arial" w:hAnsi="Arial" w:cs="Arial"/>
          <w:color w:val="000000"/>
          <w:szCs w:val="21"/>
        </w:rPr>
        <w:t>果汁中所含有的可滴定酸总量，以柠檬酸计。</w:t>
      </w:r>
    </w:p>
    <w:p>
      <w:pPr>
        <w:pStyle w:val="36"/>
        <w:rPr>
          <w:rFonts w:hint="eastAsia"/>
        </w:rPr>
      </w:pPr>
    </w:p>
    <w:p>
      <w:pPr>
        <w:widowControl/>
        <w:autoSpaceDE w:val="0"/>
        <w:autoSpaceDN w:val="0"/>
        <w:ind w:firstLine="420" w:firstLineChars="200"/>
        <w:rPr>
          <w:rFonts w:ascii="黑体" w:hAnsi="宋体" w:eastAsia="黑体" w:cs="宋体"/>
          <w:b/>
          <w:bCs/>
          <w:kern w:val="0"/>
          <w:szCs w:val="21"/>
        </w:rPr>
      </w:pPr>
      <w:r>
        <w:rPr>
          <w:rFonts w:hint="eastAsia" w:ascii="黑体" w:hAnsi="宋体" w:eastAsia="黑体" w:cs="宋体"/>
          <w:kern w:val="0"/>
          <w:szCs w:val="21"/>
        </w:rPr>
        <w:t xml:space="preserve">固酸比 </w:t>
      </w:r>
      <w:r>
        <w:rPr>
          <w:rFonts w:hint="eastAsia" w:ascii="黑体" w:hAnsi="宋体" w:eastAsia="黑体" w:cs="宋体"/>
          <w:b/>
          <w:bCs/>
          <w:kern w:val="0"/>
          <w:szCs w:val="21"/>
        </w:rPr>
        <w:t>TSS/TA</w:t>
      </w:r>
    </w:p>
    <w:p>
      <w:pPr>
        <w:pStyle w:val="20"/>
        <w:rPr>
          <w:rFonts w:hint="eastAsia" w:ascii="Arial" w:hAnsi="Arial" w:cs="Arial"/>
          <w:color w:val="000000"/>
          <w:szCs w:val="21"/>
        </w:rPr>
      </w:pPr>
      <w:r>
        <w:rPr>
          <w:rFonts w:hint="eastAsia" w:ascii="Arial" w:hAnsi="Arial" w:cs="Arial"/>
          <w:color w:val="000000"/>
          <w:szCs w:val="21"/>
        </w:rPr>
        <w:t>果汁固形物含量和果汁总酸量之比值。</w:t>
      </w:r>
    </w:p>
    <w:p>
      <w:pPr>
        <w:pStyle w:val="36"/>
        <w:rPr>
          <w:rFonts w:hint="eastAsia"/>
        </w:rPr>
      </w:pPr>
    </w:p>
    <w:p>
      <w:pPr>
        <w:widowControl/>
        <w:autoSpaceDE w:val="0"/>
        <w:autoSpaceDN w:val="0"/>
        <w:ind w:firstLine="420" w:firstLineChars="200"/>
        <w:rPr>
          <w:rFonts w:ascii="黑体" w:hAnsi="宋体" w:eastAsia="黑体" w:cs="宋体"/>
          <w:b/>
          <w:bCs/>
          <w:kern w:val="0"/>
          <w:szCs w:val="21"/>
        </w:rPr>
      </w:pPr>
      <w:r>
        <w:rPr>
          <w:rFonts w:hint="eastAsia" w:ascii="黑体" w:hAnsi="宋体" w:eastAsia="黑体" w:cs="宋体"/>
          <w:kern w:val="0"/>
          <w:szCs w:val="21"/>
        </w:rPr>
        <w:t xml:space="preserve">可食率 </w:t>
      </w:r>
      <w:r>
        <w:rPr>
          <w:rFonts w:hint="eastAsia" w:ascii="黑体" w:hAnsi="宋体" w:eastAsia="黑体" w:cs="宋体"/>
          <w:b/>
          <w:bCs/>
          <w:kern w:val="0"/>
          <w:szCs w:val="21"/>
        </w:rPr>
        <w:t>edible rate</w:t>
      </w:r>
    </w:p>
    <w:p>
      <w:pPr>
        <w:pStyle w:val="20"/>
        <w:rPr>
          <w:rFonts w:hint="eastAsia" w:ascii="Arial" w:hAnsi="Arial" w:cs="Arial"/>
          <w:color w:val="000000"/>
          <w:szCs w:val="21"/>
        </w:rPr>
      </w:pPr>
      <w:r>
        <w:rPr>
          <w:rFonts w:hint="eastAsia" w:ascii="Arial" w:hAnsi="Arial" w:cs="Arial"/>
          <w:color w:val="000000"/>
          <w:szCs w:val="21"/>
        </w:rPr>
        <w:t>可供食用的部分与整果重之比，以百分率表示。</w:t>
      </w:r>
    </w:p>
    <w:p>
      <w:pPr>
        <w:pStyle w:val="36"/>
        <w:rPr>
          <w:rFonts w:hint="eastAsia"/>
        </w:rPr>
      </w:pPr>
    </w:p>
    <w:p>
      <w:pPr>
        <w:widowControl/>
        <w:autoSpaceDE w:val="0"/>
        <w:autoSpaceDN w:val="0"/>
        <w:ind w:firstLine="420" w:firstLineChars="200"/>
        <w:rPr>
          <w:rFonts w:ascii="黑体" w:hAnsi="宋体" w:eastAsia="黑体" w:cs="宋体"/>
          <w:b/>
          <w:bCs/>
          <w:kern w:val="0"/>
          <w:szCs w:val="21"/>
        </w:rPr>
      </w:pPr>
      <w:r>
        <w:rPr>
          <w:rFonts w:hint="eastAsia" w:ascii="黑体" w:hAnsi="宋体" w:eastAsia="黑体" w:cs="宋体"/>
          <w:kern w:val="0"/>
          <w:szCs w:val="21"/>
        </w:rPr>
        <w:t xml:space="preserve">无核率 </w:t>
      </w:r>
      <w:r>
        <w:rPr>
          <w:rFonts w:hint="eastAsia" w:ascii="黑体" w:hAnsi="宋体" w:eastAsia="黑体" w:cs="宋体"/>
          <w:b/>
          <w:bCs/>
          <w:kern w:val="0"/>
          <w:szCs w:val="21"/>
        </w:rPr>
        <w:t>enucleated rate</w:t>
      </w:r>
    </w:p>
    <w:p>
      <w:pPr>
        <w:pStyle w:val="20"/>
        <w:rPr>
          <w:rFonts w:hint="eastAsia" w:ascii="Arial" w:hAnsi="Arial" w:cs="Arial"/>
          <w:color w:val="000000"/>
          <w:szCs w:val="21"/>
        </w:rPr>
      </w:pPr>
      <w:r>
        <w:rPr>
          <w:rFonts w:hint="eastAsia" w:ascii="Arial" w:hAnsi="Arial" w:cs="Arial"/>
          <w:color w:val="000000"/>
          <w:szCs w:val="21"/>
        </w:rPr>
        <w:t>指不含核的果与总果之比，以百分率表示。</w:t>
      </w:r>
    </w:p>
    <w:p>
      <w:pPr>
        <w:pStyle w:val="38"/>
        <w:rPr>
          <w:rFonts w:hint="eastAsia"/>
        </w:rPr>
      </w:pPr>
      <w:bookmarkStart w:id="38" w:name="_Toc493060419"/>
      <w:r>
        <w:rPr>
          <w:rFonts w:hint="eastAsia"/>
        </w:rPr>
        <w:t>地理标志产品保护范围</w:t>
      </w:r>
      <w:bookmarkEnd w:id="38"/>
    </w:p>
    <w:p>
      <w:pPr>
        <w:pStyle w:val="20"/>
        <w:rPr>
          <w:rFonts w:hint="eastAsia"/>
        </w:rPr>
      </w:pPr>
      <w:r>
        <w:rPr>
          <w:rFonts w:hint="eastAsia"/>
        </w:rPr>
        <w:t>南盛沙糖桔地理标志产品保护范围限于原国家质量监督检验检疫总局根据《地理标志产品保护规定》批准的范围，即广东省云浮市云城区南盛镇和前锋镇现辖行政区域内</w:t>
      </w:r>
      <w:r>
        <w:rPr>
          <w:rFonts w:hint="eastAsia"/>
          <w:lang w:eastAsia="zh-CN"/>
        </w:rPr>
        <w:t>及云安区（除都杨镇）</w:t>
      </w:r>
      <w:r>
        <w:rPr>
          <w:rFonts w:hint="eastAsia"/>
        </w:rPr>
        <w:t>现辖行政区域内的缓坡地，见本标准附录A。</w:t>
      </w:r>
    </w:p>
    <w:p>
      <w:pPr>
        <w:pStyle w:val="38"/>
        <w:rPr>
          <w:rFonts w:hint="eastAsia"/>
        </w:rPr>
      </w:pPr>
      <w:bookmarkStart w:id="39" w:name="_Toc492975141"/>
      <w:bookmarkStart w:id="40" w:name="_Toc492975169"/>
      <w:bookmarkStart w:id="41" w:name="_Toc493060420"/>
      <w:r>
        <w:rPr>
          <w:rFonts w:hint="eastAsia"/>
        </w:rPr>
        <w:t>产地环境</w:t>
      </w:r>
      <w:bookmarkEnd w:id="39"/>
      <w:bookmarkEnd w:id="40"/>
      <w:bookmarkEnd w:id="41"/>
    </w:p>
    <w:p>
      <w:pPr>
        <w:pStyle w:val="36"/>
        <w:rPr>
          <w:rFonts w:hint="eastAsia"/>
        </w:rPr>
      </w:pPr>
      <w:bookmarkStart w:id="42" w:name="_Toc492975142"/>
      <w:r>
        <w:rPr>
          <w:rFonts w:hint="eastAsia"/>
        </w:rPr>
        <w:t>总</w:t>
      </w:r>
      <w:bookmarkEnd w:id="42"/>
      <w:r>
        <w:rPr>
          <w:rFonts w:hint="eastAsia"/>
          <w:lang w:eastAsia="zh-CN"/>
        </w:rPr>
        <w:t>则</w:t>
      </w:r>
    </w:p>
    <w:p>
      <w:pPr>
        <w:ind w:firstLine="420" w:firstLineChars="200"/>
        <w:rPr>
          <w:rFonts w:hint="eastAsia" w:ascii="宋体" w:hAnsi="宋体" w:cs="宋体"/>
          <w:kern w:val="0"/>
          <w:szCs w:val="21"/>
        </w:rPr>
      </w:pPr>
      <w:r>
        <w:rPr>
          <w:rFonts w:hint="eastAsia" w:ascii="宋体" w:hAnsi="宋体" w:cs="宋体"/>
          <w:kern w:val="0"/>
          <w:szCs w:val="21"/>
        </w:rPr>
        <w:t>本区域地处广东省西部，西江中游南岸，紧靠北回归线南侧，属亚热带湿润性季风气候，夏长冬短，雨量充沛，高温期与多雨期一致，且符合NY 501</w:t>
      </w:r>
      <w:r>
        <w:rPr>
          <w:rFonts w:hint="eastAsia" w:ascii="宋体" w:hAnsi="宋体" w:cs="宋体"/>
          <w:kern w:val="0"/>
          <w:szCs w:val="21"/>
          <w:lang w:val="en-US" w:eastAsia="zh-CN"/>
        </w:rPr>
        <w:t xml:space="preserve">0 </w:t>
      </w:r>
      <w:r>
        <w:rPr>
          <w:rFonts w:hint="eastAsia" w:ascii="宋体" w:hAnsi="宋体" w:cs="宋体"/>
          <w:kern w:val="0"/>
          <w:szCs w:val="21"/>
        </w:rPr>
        <w:t>规定的要求。</w:t>
      </w:r>
    </w:p>
    <w:p>
      <w:pPr>
        <w:pStyle w:val="36"/>
        <w:rPr>
          <w:rFonts w:hint="eastAsia"/>
        </w:rPr>
      </w:pPr>
      <w:bookmarkStart w:id="43" w:name="_Toc492975143"/>
      <w:r>
        <w:rPr>
          <w:rFonts w:hint="eastAsia"/>
          <w:lang w:eastAsia="zh-CN"/>
        </w:rPr>
        <w:t>气温</w:t>
      </w:r>
      <w:bookmarkEnd w:id="43"/>
    </w:p>
    <w:p>
      <w:pPr>
        <w:pStyle w:val="20"/>
        <w:ind w:left="0" w:leftChars="0" w:firstLine="420" w:firstLineChars="200"/>
        <w:rPr>
          <w:rFonts w:hint="eastAsia" w:hAnsi="宋体" w:cs="宋体"/>
          <w:szCs w:val="21"/>
        </w:rPr>
      </w:pPr>
      <w:r>
        <w:rPr>
          <w:rFonts w:hint="eastAsia" w:hAnsi="宋体" w:cs="宋体"/>
          <w:szCs w:val="21"/>
        </w:rPr>
        <w:t>年平均气温21.5℃，1月平均气温不低于13.1℃，极端最低气温不低于-1.4℃，年日照时数1418h，无霜期350d。</w:t>
      </w:r>
    </w:p>
    <w:p>
      <w:pPr>
        <w:pStyle w:val="36"/>
        <w:rPr>
          <w:rFonts w:hint="eastAsia"/>
        </w:rPr>
      </w:pPr>
      <w:r>
        <w:rPr>
          <w:rFonts w:hint="eastAsia"/>
          <w:lang w:eastAsia="zh-CN"/>
        </w:rPr>
        <w:t>降水量</w:t>
      </w:r>
    </w:p>
    <w:p>
      <w:pPr>
        <w:pStyle w:val="20"/>
        <w:ind w:left="0" w:leftChars="0" w:firstLine="420" w:firstLineChars="200"/>
        <w:rPr>
          <w:rFonts w:hint="eastAsia"/>
        </w:rPr>
      </w:pPr>
      <w:r>
        <w:rPr>
          <w:rFonts w:hint="eastAsia" w:hAnsi="宋体" w:cs="宋体"/>
          <w:szCs w:val="21"/>
        </w:rPr>
        <w:t>年平均降水量1765mm。雨量主要集中在4月～10月。</w:t>
      </w:r>
    </w:p>
    <w:p>
      <w:pPr>
        <w:pStyle w:val="36"/>
        <w:rPr>
          <w:rFonts w:hint="eastAsia"/>
        </w:rPr>
      </w:pPr>
      <w:r>
        <w:rPr>
          <w:rFonts w:hint="eastAsia"/>
          <w:lang w:eastAsia="zh-CN"/>
        </w:rPr>
        <w:t>土壤</w:t>
      </w:r>
    </w:p>
    <w:p>
      <w:pPr>
        <w:pStyle w:val="20"/>
        <w:ind w:left="0" w:leftChars="0" w:firstLine="420" w:firstLineChars="200"/>
        <w:rPr>
          <w:rFonts w:hint="eastAsia"/>
        </w:rPr>
      </w:pPr>
      <w:r>
        <w:rPr>
          <w:rFonts w:hint="eastAsia" w:hAnsi="宋体" w:cs="宋体"/>
          <w:szCs w:val="21"/>
        </w:rPr>
        <w:t>土壤类型为红壤，土质疏松，pH值5.5～6.5，土层厚度≥500mm，有机质含量≥1.5%。</w:t>
      </w:r>
    </w:p>
    <w:p>
      <w:pPr>
        <w:pStyle w:val="36"/>
        <w:rPr>
          <w:rFonts w:hint="eastAsia"/>
        </w:rPr>
      </w:pPr>
      <w:r>
        <w:rPr>
          <w:rFonts w:hint="eastAsia"/>
          <w:lang w:eastAsia="zh-CN"/>
        </w:rPr>
        <w:t>水质</w:t>
      </w:r>
    </w:p>
    <w:p>
      <w:pPr>
        <w:pStyle w:val="20"/>
        <w:ind w:left="0" w:leftChars="0" w:firstLine="420" w:firstLineChars="200"/>
        <w:rPr>
          <w:rFonts w:hint="eastAsia" w:hAnsi="宋体" w:cs="宋体"/>
          <w:szCs w:val="21"/>
        </w:rPr>
      </w:pPr>
      <w:r>
        <w:rPr>
          <w:rFonts w:hint="eastAsia" w:hAnsi="宋体" w:cs="宋体"/>
          <w:szCs w:val="21"/>
        </w:rPr>
        <w:t>应符合NY/T 5010</w:t>
      </w:r>
      <w:r>
        <w:rPr>
          <w:rFonts w:hint="eastAsia" w:hAnsi="宋体" w:cs="宋体"/>
          <w:szCs w:val="21"/>
          <w:lang w:val="en-US" w:eastAsia="zh-CN"/>
        </w:rPr>
        <w:t xml:space="preserve"> </w:t>
      </w:r>
      <w:r>
        <w:rPr>
          <w:rFonts w:hint="eastAsia" w:hAnsi="宋体" w:cs="宋体"/>
          <w:szCs w:val="21"/>
        </w:rPr>
        <w:t>规定的要求。</w:t>
      </w:r>
    </w:p>
    <w:p>
      <w:pPr>
        <w:pStyle w:val="38"/>
        <w:rPr>
          <w:rFonts w:hint="eastAsia"/>
        </w:rPr>
      </w:pPr>
      <w:bookmarkStart w:id="44" w:name="_Toc493060421"/>
      <w:bookmarkStart w:id="45" w:name="_Toc492975144"/>
      <w:bookmarkStart w:id="46" w:name="_Toc492975170"/>
      <w:r>
        <w:rPr>
          <w:rFonts w:hint="eastAsia"/>
        </w:rPr>
        <w:t>栽培技术</w:t>
      </w:r>
      <w:bookmarkEnd w:id="44"/>
      <w:bookmarkEnd w:id="45"/>
      <w:bookmarkEnd w:id="46"/>
    </w:p>
    <w:p>
      <w:pPr>
        <w:pStyle w:val="36"/>
        <w:rPr>
          <w:rFonts w:hint="eastAsia"/>
        </w:rPr>
      </w:pPr>
      <w:r>
        <w:rPr>
          <w:rFonts w:hint="eastAsia"/>
        </w:rPr>
        <w:t>育苗</w:t>
      </w:r>
    </w:p>
    <w:p>
      <w:pPr>
        <w:ind w:firstLine="420" w:firstLineChars="200"/>
        <w:rPr>
          <w:rFonts w:hint="eastAsia" w:ascii="宋体" w:hAnsi="宋体" w:cs="宋体"/>
          <w:kern w:val="0"/>
          <w:szCs w:val="21"/>
        </w:rPr>
      </w:pPr>
      <w:r>
        <w:rPr>
          <w:rFonts w:hint="eastAsia" w:ascii="宋体" w:hAnsi="宋体" w:cs="宋体"/>
          <w:kern w:val="0"/>
          <w:szCs w:val="21"/>
        </w:rPr>
        <w:t>应符合GB/T 9659</w:t>
      </w:r>
      <w:r>
        <w:rPr>
          <w:rFonts w:hint="eastAsia" w:ascii="宋体" w:hAnsi="宋体" w:cs="宋体"/>
          <w:kern w:val="0"/>
          <w:szCs w:val="21"/>
          <w:lang w:val="en-US" w:eastAsia="zh-CN"/>
        </w:rPr>
        <w:t xml:space="preserve"> </w:t>
      </w:r>
      <w:r>
        <w:rPr>
          <w:rFonts w:hint="eastAsia" w:ascii="宋体" w:hAnsi="宋体" w:cs="宋体"/>
          <w:kern w:val="0"/>
          <w:szCs w:val="21"/>
        </w:rPr>
        <w:t>规定的要求。以红桔、酸桔或枳壳为砧木嫁接繁殖培育种苗。</w:t>
      </w:r>
    </w:p>
    <w:p>
      <w:pPr>
        <w:pStyle w:val="36"/>
        <w:rPr>
          <w:rFonts w:hint="eastAsia"/>
        </w:rPr>
      </w:pPr>
      <w:r>
        <w:rPr>
          <w:rFonts w:hint="eastAsia"/>
          <w:lang w:eastAsia="zh-CN"/>
        </w:rPr>
        <w:t>建园</w:t>
      </w:r>
    </w:p>
    <w:p>
      <w:pPr>
        <w:ind w:firstLine="420" w:firstLineChars="200"/>
        <w:rPr>
          <w:rFonts w:hint="eastAsia" w:ascii="宋体" w:hAnsi="宋体" w:cs="宋体"/>
          <w:kern w:val="0"/>
          <w:szCs w:val="21"/>
        </w:rPr>
      </w:pPr>
      <w:r>
        <w:rPr>
          <w:rFonts w:hint="eastAsia" w:ascii="宋体" w:hAnsi="宋体" w:cs="宋体"/>
          <w:kern w:val="0"/>
          <w:szCs w:val="21"/>
        </w:rPr>
        <w:t>坡地修建水平等高梯田或登高定穴种植。</w:t>
      </w:r>
    </w:p>
    <w:p>
      <w:pPr>
        <w:pStyle w:val="36"/>
        <w:rPr>
          <w:rFonts w:hint="eastAsia"/>
        </w:rPr>
      </w:pPr>
      <w:r>
        <w:rPr>
          <w:rFonts w:hint="eastAsia"/>
          <w:lang w:eastAsia="zh-CN"/>
        </w:rPr>
        <w:t>栽植</w:t>
      </w:r>
    </w:p>
    <w:p>
      <w:pPr>
        <w:ind w:firstLine="420" w:firstLineChars="200"/>
        <w:rPr>
          <w:rFonts w:hint="eastAsia" w:ascii="宋体" w:hAnsi="宋体" w:cs="宋体"/>
          <w:kern w:val="0"/>
          <w:szCs w:val="21"/>
        </w:rPr>
      </w:pPr>
      <w:r>
        <w:rPr>
          <w:rFonts w:hint="eastAsia" w:ascii="宋体" w:hAnsi="宋体" w:cs="宋体"/>
          <w:kern w:val="0"/>
          <w:szCs w:val="21"/>
        </w:rPr>
        <w:t>最佳栽植时间为3月</w:t>
      </w:r>
      <w:r>
        <w:rPr>
          <w:rFonts w:hint="eastAsia" w:hAnsi="宋体" w:cs="宋体"/>
          <w:szCs w:val="21"/>
        </w:rPr>
        <w:t>～</w:t>
      </w:r>
      <w:r>
        <w:rPr>
          <w:rFonts w:hint="eastAsia" w:ascii="宋体" w:hAnsi="宋体" w:cs="宋体"/>
          <w:kern w:val="0"/>
          <w:szCs w:val="21"/>
        </w:rPr>
        <w:t>4月，春梢老熟后或夏梢萌芽前种植。每公顷栽种≤1150株。</w:t>
      </w:r>
    </w:p>
    <w:p>
      <w:pPr>
        <w:pStyle w:val="36"/>
        <w:rPr>
          <w:rFonts w:hint="eastAsia"/>
        </w:rPr>
      </w:pPr>
      <w:r>
        <w:rPr>
          <w:rFonts w:hint="eastAsia"/>
          <w:lang w:eastAsia="zh-CN"/>
        </w:rPr>
        <w:t>土壤管理</w:t>
      </w:r>
    </w:p>
    <w:p>
      <w:pPr>
        <w:ind w:firstLine="420" w:firstLineChars="200"/>
        <w:rPr>
          <w:rFonts w:hint="eastAsia" w:ascii="宋体" w:hAnsi="宋体" w:cs="宋体"/>
          <w:kern w:val="0"/>
          <w:szCs w:val="21"/>
        </w:rPr>
      </w:pPr>
      <w:r>
        <w:rPr>
          <w:rFonts w:hint="eastAsia" w:ascii="宋体" w:hAnsi="宋体" w:cs="宋体"/>
          <w:kern w:val="0"/>
          <w:szCs w:val="21"/>
        </w:rPr>
        <w:t>丘陵山地果园一般在定植后第2年秋梢老熟后开始深翻压绿改土，分层埋入山草、绿肥、土杂肥或 禽畜粪和石灰粉。每年位置轮换并外移，直至全园翻挖改土完毕。</w:t>
      </w:r>
    </w:p>
    <w:p>
      <w:pPr>
        <w:pStyle w:val="36"/>
        <w:rPr>
          <w:rFonts w:hint="eastAsia"/>
        </w:rPr>
      </w:pPr>
      <w:r>
        <w:rPr>
          <w:rFonts w:hint="eastAsia"/>
        </w:rPr>
        <w:t>整形和修剪</w:t>
      </w:r>
    </w:p>
    <w:p>
      <w:pPr>
        <w:ind w:firstLine="420" w:firstLineChars="200"/>
        <w:rPr>
          <w:rFonts w:hint="eastAsia" w:ascii="宋体" w:hAnsi="宋体" w:cs="宋体"/>
          <w:kern w:val="0"/>
          <w:szCs w:val="21"/>
        </w:rPr>
      </w:pPr>
      <w:r>
        <w:rPr>
          <w:rFonts w:hint="eastAsia" w:ascii="宋体" w:hAnsi="宋体" w:cs="宋体"/>
          <w:kern w:val="0"/>
          <w:szCs w:val="21"/>
        </w:rPr>
        <w:t>树形以自然圆头型为主，结果树釆用大枝修剪的方法，保证树体通风透光、立体结果、均衡结果。</w:t>
      </w:r>
    </w:p>
    <w:p>
      <w:pPr>
        <w:pStyle w:val="36"/>
        <w:rPr>
          <w:rFonts w:hint="eastAsia"/>
        </w:rPr>
      </w:pPr>
      <w:r>
        <w:rPr>
          <w:rFonts w:hint="eastAsia"/>
        </w:rPr>
        <w:t>施肥</w:t>
      </w:r>
    </w:p>
    <w:p>
      <w:pPr>
        <w:ind w:firstLine="420" w:firstLineChars="200"/>
        <w:rPr>
          <w:rFonts w:hint="eastAsia" w:ascii="宋体" w:hAnsi="宋体" w:cs="宋体"/>
          <w:kern w:val="0"/>
          <w:szCs w:val="21"/>
        </w:rPr>
      </w:pPr>
      <w:r>
        <w:rPr>
          <w:rFonts w:hint="eastAsia" w:ascii="宋体" w:hAnsi="宋体" w:cs="宋体"/>
          <w:kern w:val="0"/>
          <w:szCs w:val="21"/>
        </w:rPr>
        <w:t>以有机肥为主，适当配合无机肥</w:t>
      </w:r>
      <w:r>
        <w:rPr>
          <w:rFonts w:hint="eastAsia" w:ascii="宋体" w:hAnsi="宋体" w:cs="宋体"/>
          <w:kern w:val="0"/>
          <w:szCs w:val="21"/>
          <w:lang w:eastAsia="zh-CN"/>
        </w:rPr>
        <w:t>；</w:t>
      </w:r>
      <w:r>
        <w:rPr>
          <w:rFonts w:hint="eastAsia" w:ascii="宋体" w:hAnsi="宋体" w:cs="宋体"/>
          <w:kern w:val="0"/>
          <w:szCs w:val="21"/>
        </w:rPr>
        <w:t>每年每公顷施用腐熟有机肥≥10t，年施10kg</w:t>
      </w:r>
      <w:r>
        <w:rPr>
          <w:rFonts w:hint="eastAsia" w:hAnsi="宋体" w:cs="宋体"/>
          <w:szCs w:val="21"/>
        </w:rPr>
        <w:t>～</w:t>
      </w:r>
      <w:r>
        <w:rPr>
          <w:rFonts w:hint="eastAsia" w:ascii="宋体" w:hAnsi="宋体" w:cs="宋体"/>
          <w:kern w:val="0"/>
          <w:szCs w:val="21"/>
        </w:rPr>
        <w:t>15kg纯氮/1000 kg果，适当施用磷、钾肥以及钙、铁、锌、硼等中微量元素。</w:t>
      </w:r>
    </w:p>
    <w:p>
      <w:pPr>
        <w:pStyle w:val="36"/>
        <w:rPr>
          <w:rFonts w:hint="eastAsia"/>
        </w:rPr>
      </w:pPr>
      <w:r>
        <w:rPr>
          <w:rFonts w:hint="eastAsia"/>
        </w:rPr>
        <w:t>水份管理</w:t>
      </w:r>
    </w:p>
    <w:p>
      <w:pPr>
        <w:ind w:firstLine="420" w:firstLineChars="200"/>
        <w:rPr>
          <w:rFonts w:hint="eastAsia" w:ascii="宋体" w:hAnsi="宋体" w:cs="宋体"/>
          <w:kern w:val="0"/>
          <w:szCs w:val="21"/>
        </w:rPr>
      </w:pPr>
      <w:r>
        <w:rPr>
          <w:rFonts w:hint="eastAsia" w:ascii="宋体" w:hAnsi="宋体" w:cs="宋体"/>
          <w:kern w:val="0"/>
          <w:szCs w:val="21"/>
        </w:rPr>
        <w:t>要按照“旱能灌涝能排”的要求在桔园内建立完善的排灌系统。根据桔树生长特性进行合理排灌。</w:t>
      </w:r>
    </w:p>
    <w:p>
      <w:pPr>
        <w:pStyle w:val="36"/>
        <w:rPr>
          <w:rFonts w:hint="eastAsia"/>
        </w:rPr>
      </w:pPr>
      <w:r>
        <w:rPr>
          <w:rFonts w:hint="eastAsia"/>
        </w:rPr>
        <w:t>病虫害防治</w:t>
      </w:r>
    </w:p>
    <w:p>
      <w:pPr>
        <w:ind w:firstLine="420" w:firstLineChars="200"/>
        <w:rPr>
          <w:rFonts w:hint="eastAsia" w:ascii="宋体" w:hAnsi="宋体" w:cs="宋体"/>
          <w:kern w:val="0"/>
          <w:szCs w:val="21"/>
        </w:rPr>
      </w:pPr>
      <w:r>
        <w:rPr>
          <w:rFonts w:hint="eastAsia" w:ascii="宋体" w:hAnsi="宋体" w:cs="宋体"/>
          <w:kern w:val="0"/>
          <w:szCs w:val="21"/>
        </w:rPr>
        <w:t>以农业防治、物理防治、生物防治为主，化学防治为辅的病虫害综合防治为原则，加强对检疫性、 危险性病虫害的监控与防治。</w:t>
      </w:r>
    </w:p>
    <w:p>
      <w:pPr>
        <w:pStyle w:val="36"/>
        <w:rPr>
          <w:rFonts w:hint="eastAsia"/>
        </w:rPr>
      </w:pPr>
      <w:r>
        <w:rPr>
          <w:rFonts w:hint="eastAsia"/>
        </w:rPr>
        <w:t>果实采收</w:t>
      </w:r>
    </w:p>
    <w:p>
      <w:pPr>
        <w:ind w:firstLine="420" w:firstLineChars="200"/>
        <w:rPr>
          <w:rFonts w:hint="eastAsia" w:ascii="宋体" w:hAnsi="宋体" w:cs="宋体"/>
          <w:kern w:val="0"/>
          <w:szCs w:val="21"/>
        </w:rPr>
      </w:pPr>
      <w:r>
        <w:rPr>
          <w:rFonts w:hint="eastAsia" w:ascii="宋体" w:hAnsi="宋体" w:cs="宋体"/>
          <w:kern w:val="0"/>
          <w:szCs w:val="21"/>
        </w:rPr>
        <w:t>果实釆收时间从12月上旬开始，在果皮70%以上转色后分批釆收；釆收方法为一果两剪，釆摘前10天以上停止灌水。</w:t>
      </w:r>
    </w:p>
    <w:p>
      <w:pPr>
        <w:pStyle w:val="36"/>
        <w:rPr>
          <w:rFonts w:hint="eastAsia"/>
        </w:rPr>
      </w:pPr>
      <w:r>
        <w:rPr>
          <w:rFonts w:hint="eastAsia"/>
        </w:rPr>
        <w:t>环境安全要求</w:t>
      </w:r>
    </w:p>
    <w:p>
      <w:pPr>
        <w:ind w:firstLine="420" w:firstLineChars="200"/>
        <w:rPr>
          <w:rFonts w:hint="eastAsia"/>
        </w:rPr>
      </w:pPr>
      <w:r>
        <w:rPr>
          <w:rFonts w:hint="eastAsia" w:ascii="宋体" w:hAnsi="宋体" w:cs="宋体"/>
          <w:kern w:val="0"/>
          <w:szCs w:val="21"/>
        </w:rPr>
        <w:t>使用农药化肥等投入品应符合国家相关规定，不应污染环境。</w:t>
      </w:r>
    </w:p>
    <w:p>
      <w:pPr>
        <w:pStyle w:val="38"/>
        <w:rPr>
          <w:rFonts w:hint="eastAsia"/>
        </w:rPr>
      </w:pPr>
      <w:bookmarkStart w:id="47" w:name="_Toc492975145"/>
      <w:bookmarkStart w:id="48" w:name="_Toc493060422"/>
      <w:bookmarkStart w:id="49" w:name="_Toc492975171"/>
      <w:r>
        <w:rPr>
          <w:rFonts w:hint="eastAsia"/>
        </w:rPr>
        <w:t>质量要求</w:t>
      </w:r>
      <w:bookmarkEnd w:id="47"/>
      <w:bookmarkEnd w:id="48"/>
      <w:bookmarkEnd w:id="49"/>
    </w:p>
    <w:p>
      <w:pPr>
        <w:pStyle w:val="36"/>
        <w:rPr>
          <w:rFonts w:hint="eastAsia"/>
        </w:rPr>
      </w:pPr>
      <w:bookmarkStart w:id="50" w:name="_Toc492975146"/>
      <w:r>
        <w:rPr>
          <w:rFonts w:hint="eastAsia"/>
        </w:rPr>
        <w:t>分级标准</w:t>
      </w:r>
      <w:bookmarkEnd w:id="50"/>
    </w:p>
    <w:p>
      <w:pPr>
        <w:widowControl/>
        <w:autoSpaceDE w:val="0"/>
        <w:autoSpaceDN w:val="0"/>
        <w:ind w:firstLine="420" w:firstLineChars="200"/>
        <w:rPr>
          <w:rFonts w:ascii="宋体" w:hAnsi="宋体" w:cs="宋体"/>
          <w:kern w:val="0"/>
          <w:szCs w:val="21"/>
        </w:rPr>
      </w:pPr>
      <w:r>
        <w:rPr>
          <w:rFonts w:hint="eastAsia" w:ascii="宋体" w:hAnsi="宋体" w:cs="宋体"/>
          <w:kern w:val="0"/>
          <w:szCs w:val="21"/>
        </w:rPr>
        <w:t>分级标准按表1、表2执行。</w:t>
      </w:r>
    </w:p>
    <w:p>
      <w:pPr>
        <w:widowControl/>
        <w:autoSpaceDE w:val="0"/>
        <w:autoSpaceDN w:val="0"/>
        <w:spacing w:before="156" w:beforeLines="50" w:after="156" w:afterLines="50"/>
        <w:ind w:firstLine="420" w:firstLineChars="200"/>
        <w:jc w:val="center"/>
        <w:rPr>
          <w:rFonts w:hint="eastAsia" w:ascii="黑体" w:hAnsi="宋体" w:eastAsia="黑体" w:cs="宋体"/>
          <w:kern w:val="0"/>
          <w:szCs w:val="21"/>
        </w:rPr>
      </w:pPr>
      <w:r>
        <w:rPr>
          <w:rFonts w:hint="eastAsia" w:ascii="黑体" w:hAnsi="宋体" w:eastAsia="黑体" w:cs="宋体"/>
          <w:kern w:val="0"/>
          <w:szCs w:val="21"/>
        </w:rPr>
        <w:t>表1 果品感官质量指标</w:t>
      </w:r>
    </w:p>
    <w:tbl>
      <w:tblPr>
        <w:tblStyle w:val="35"/>
        <w:tblW w:w="957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492"/>
        <w:gridCol w:w="2359"/>
        <w:gridCol w:w="2360"/>
        <w:gridCol w:w="23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2492" w:type="dxa"/>
            <w:tcBorders>
              <w:top w:val="single" w:color="auto" w:sz="4" w:space="0"/>
              <w:left w:val="single" w:color="auto" w:sz="4" w:space="0"/>
              <w:bottom w:val="single" w:color="auto" w:sz="4" w:space="0"/>
              <w:right w:val="single" w:color="auto" w:sz="4" w:space="0"/>
            </w:tcBorders>
            <w:vAlign w:val="bottom"/>
          </w:tcPr>
          <w:p>
            <w:pPr>
              <w:pStyle w:val="133"/>
              <w:keepNext w:val="0"/>
              <w:keepLines w:val="0"/>
              <w:widowControl w:val="0"/>
              <w:shd w:val="clear" w:color="auto" w:fill="auto"/>
              <w:bidi w:val="0"/>
              <w:spacing w:before="0" w:after="0" w:line="240" w:lineRule="auto"/>
              <w:ind w:left="0" w:leftChars="0" w:right="0" w:rightChars="0" w:firstLine="0" w:firstLineChars="0"/>
              <w:jc w:val="center"/>
              <w:rPr>
                <w:rFonts w:hAnsi="宋体"/>
                <w:szCs w:val="18"/>
              </w:rPr>
            </w:pPr>
            <w:r>
              <w:rPr>
                <w:rFonts w:ascii="宋体" w:hAnsi="宋体" w:eastAsia="宋体" w:cs="宋体"/>
                <w:color w:val="000000"/>
                <w:spacing w:val="0"/>
                <w:w w:val="100"/>
                <w:position w:val="0"/>
                <w:sz w:val="20"/>
                <w:szCs w:val="20"/>
                <w:u w:val="none"/>
                <w:shd w:val="clear" w:color="auto" w:fill="auto"/>
                <w:lang w:val="zh-TW" w:eastAsia="zh-TW" w:bidi="zh-TW"/>
              </w:rPr>
              <w:t>项目</w:t>
            </w:r>
          </w:p>
        </w:tc>
        <w:tc>
          <w:tcPr>
            <w:tcW w:w="2359" w:type="dxa"/>
            <w:tcBorders>
              <w:top w:val="single" w:color="auto" w:sz="4" w:space="0"/>
              <w:left w:val="nil"/>
              <w:bottom w:val="single" w:color="auto" w:sz="4" w:space="0"/>
              <w:right w:val="single" w:color="auto" w:sz="4" w:space="0"/>
            </w:tcBorders>
            <w:vAlign w:val="bottom"/>
          </w:tcPr>
          <w:p>
            <w:pPr>
              <w:pStyle w:val="133"/>
              <w:keepNext w:val="0"/>
              <w:keepLines w:val="0"/>
              <w:widowControl w:val="0"/>
              <w:shd w:val="clear" w:color="auto" w:fill="auto"/>
              <w:bidi w:val="0"/>
              <w:spacing w:before="0" w:after="0" w:line="240" w:lineRule="auto"/>
              <w:ind w:left="0" w:leftChars="0" w:right="0" w:rightChars="0" w:firstLine="0" w:firstLineChars="0"/>
              <w:jc w:val="center"/>
              <w:rPr>
                <w:rFonts w:hAnsi="宋体"/>
                <w:szCs w:val="18"/>
              </w:rPr>
            </w:pPr>
            <w:r>
              <w:rPr>
                <w:rFonts w:ascii="宋体" w:hAnsi="宋体" w:eastAsia="宋体" w:cs="宋体"/>
                <w:color w:val="000000"/>
                <w:spacing w:val="0"/>
                <w:w w:val="100"/>
                <w:position w:val="0"/>
                <w:sz w:val="20"/>
                <w:szCs w:val="20"/>
                <w:u w:val="none"/>
                <w:shd w:val="clear" w:color="auto" w:fill="auto"/>
                <w:lang w:val="zh-TW" w:eastAsia="zh-TW" w:bidi="zh-TW"/>
              </w:rPr>
              <w:t>一级</w:t>
            </w:r>
          </w:p>
        </w:tc>
        <w:tc>
          <w:tcPr>
            <w:tcW w:w="2360" w:type="dxa"/>
            <w:tcBorders>
              <w:top w:val="single" w:color="auto" w:sz="4" w:space="0"/>
              <w:left w:val="nil"/>
              <w:bottom w:val="single" w:color="auto" w:sz="4" w:space="0"/>
              <w:right w:val="single" w:color="auto" w:sz="4" w:space="0"/>
            </w:tcBorders>
            <w:vAlign w:val="bottom"/>
          </w:tcPr>
          <w:p>
            <w:pPr>
              <w:pStyle w:val="133"/>
              <w:keepNext w:val="0"/>
              <w:keepLines w:val="0"/>
              <w:widowControl w:val="0"/>
              <w:shd w:val="clear" w:color="auto" w:fill="auto"/>
              <w:bidi w:val="0"/>
              <w:spacing w:before="0" w:after="0" w:line="240" w:lineRule="auto"/>
              <w:ind w:left="0" w:leftChars="0" w:right="0" w:rightChars="0" w:firstLine="0" w:firstLineChars="0"/>
              <w:jc w:val="center"/>
              <w:rPr>
                <w:rFonts w:hAnsi="宋体"/>
                <w:szCs w:val="18"/>
              </w:rPr>
            </w:pPr>
            <w:r>
              <w:rPr>
                <w:rFonts w:ascii="宋体" w:hAnsi="宋体" w:eastAsia="宋体" w:cs="宋体"/>
                <w:color w:val="000000"/>
                <w:spacing w:val="0"/>
                <w:w w:val="100"/>
                <w:position w:val="0"/>
                <w:sz w:val="20"/>
                <w:szCs w:val="20"/>
                <w:u w:val="none"/>
                <w:shd w:val="clear" w:color="auto" w:fill="auto"/>
                <w:lang w:val="zh-TW" w:eastAsia="zh-TW" w:bidi="zh-TW"/>
              </w:rPr>
              <w:t>二级</w:t>
            </w:r>
          </w:p>
        </w:tc>
        <w:tc>
          <w:tcPr>
            <w:tcW w:w="2360" w:type="dxa"/>
            <w:tcBorders>
              <w:top w:val="single" w:color="auto" w:sz="4" w:space="0"/>
              <w:left w:val="nil"/>
              <w:bottom w:val="single" w:color="auto" w:sz="4" w:space="0"/>
              <w:right w:val="single" w:color="auto" w:sz="4" w:space="0"/>
            </w:tcBorders>
            <w:vAlign w:val="bottom"/>
          </w:tcPr>
          <w:p>
            <w:pPr>
              <w:pStyle w:val="133"/>
              <w:keepNext w:val="0"/>
              <w:keepLines w:val="0"/>
              <w:widowControl w:val="0"/>
              <w:shd w:val="clear" w:color="auto" w:fill="auto"/>
              <w:bidi w:val="0"/>
              <w:spacing w:before="0" w:after="0" w:line="240" w:lineRule="auto"/>
              <w:ind w:left="0" w:leftChars="0" w:right="0" w:rightChars="0" w:firstLine="0" w:firstLineChars="0"/>
              <w:jc w:val="center"/>
              <w:rPr>
                <w:rFonts w:hAnsi="宋体"/>
                <w:szCs w:val="18"/>
              </w:rPr>
            </w:pPr>
            <w:r>
              <w:rPr>
                <w:rFonts w:ascii="宋体" w:hAnsi="宋体" w:eastAsia="宋体" w:cs="宋体"/>
                <w:color w:val="000000"/>
                <w:spacing w:val="0"/>
                <w:w w:val="100"/>
                <w:position w:val="0"/>
                <w:sz w:val="20"/>
                <w:szCs w:val="20"/>
                <w:u w:val="none"/>
                <w:shd w:val="clear" w:color="auto" w:fill="auto"/>
                <w:lang w:val="zh-TW" w:eastAsia="zh-TW" w:bidi="zh-TW"/>
              </w:rPr>
              <w:t>三级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2492" w:type="dxa"/>
            <w:tcBorders>
              <w:top w:val="single" w:color="auto" w:sz="4" w:space="0"/>
              <w:left w:val="single" w:color="auto" w:sz="4" w:space="0"/>
              <w:bottom w:val="single" w:color="auto" w:sz="4" w:space="0"/>
              <w:right w:val="single" w:color="auto" w:sz="4" w:space="0"/>
            </w:tcBorders>
            <w:vAlign w:val="center"/>
          </w:tcPr>
          <w:p>
            <w:pPr>
              <w:pStyle w:val="133"/>
              <w:keepNext w:val="0"/>
              <w:keepLines w:val="0"/>
              <w:widowControl w:val="0"/>
              <w:shd w:val="clear" w:color="auto" w:fill="auto"/>
              <w:bidi w:val="0"/>
              <w:spacing w:before="0" w:after="0" w:line="240" w:lineRule="auto"/>
              <w:ind w:left="0" w:leftChars="0" w:right="0" w:rightChars="0" w:firstLine="140" w:firstLineChars="0"/>
              <w:jc w:val="center"/>
              <w:rPr>
                <w:rFonts w:hAnsi="宋体"/>
                <w:szCs w:val="18"/>
              </w:rPr>
            </w:pPr>
            <w:r>
              <w:rPr>
                <w:rFonts w:ascii="宋体" w:hAnsi="宋体" w:eastAsia="宋体" w:cs="宋体"/>
                <w:color w:val="000000"/>
                <w:spacing w:val="0"/>
                <w:w w:val="100"/>
                <w:position w:val="0"/>
                <w:sz w:val="20"/>
                <w:szCs w:val="20"/>
                <w:u w:val="none"/>
                <w:shd w:val="clear" w:color="auto" w:fill="auto"/>
                <w:lang w:val="zh-TW" w:eastAsia="zh-TW" w:bidi="zh-TW"/>
              </w:rPr>
              <w:t>果形</w:t>
            </w:r>
          </w:p>
        </w:tc>
        <w:tc>
          <w:tcPr>
            <w:tcW w:w="2359" w:type="dxa"/>
            <w:tcBorders>
              <w:top w:val="single" w:color="auto" w:sz="4" w:space="0"/>
              <w:left w:val="nil"/>
              <w:bottom w:val="single" w:color="auto" w:sz="4" w:space="0"/>
              <w:right w:val="single" w:color="auto" w:sz="4" w:space="0"/>
            </w:tcBorders>
            <w:vAlign w:val="center"/>
          </w:tcPr>
          <w:p>
            <w:pPr>
              <w:pStyle w:val="133"/>
              <w:keepNext w:val="0"/>
              <w:keepLines w:val="0"/>
              <w:widowControl w:val="0"/>
              <w:shd w:val="clear" w:color="auto" w:fill="auto"/>
              <w:bidi w:val="0"/>
              <w:spacing w:before="0" w:after="160" w:line="240" w:lineRule="auto"/>
              <w:ind w:left="0" w:right="0" w:firstLine="0"/>
              <w:jc w:val="center"/>
              <w:rPr>
                <w:rFonts w:hAnsi="宋体"/>
                <w:szCs w:val="18"/>
              </w:rPr>
            </w:pPr>
            <w:r>
              <w:rPr>
                <w:rFonts w:ascii="宋体" w:hAnsi="宋体" w:eastAsia="宋体" w:cs="宋体"/>
                <w:color w:val="000000"/>
                <w:spacing w:val="0"/>
                <w:w w:val="100"/>
                <w:position w:val="0"/>
                <w:sz w:val="20"/>
                <w:szCs w:val="20"/>
                <w:u w:val="none"/>
                <w:shd w:val="clear" w:color="auto" w:fill="auto"/>
                <w:lang w:val="zh-TW" w:eastAsia="zh-TW" w:bidi="zh-TW"/>
              </w:rPr>
              <w:t>扁圆形、果顶微凹、果底平、形状一致</w:t>
            </w:r>
          </w:p>
        </w:tc>
        <w:tc>
          <w:tcPr>
            <w:tcW w:w="2360" w:type="dxa"/>
            <w:tcBorders>
              <w:top w:val="single" w:color="auto" w:sz="4" w:space="0"/>
              <w:left w:val="nil"/>
              <w:bottom w:val="single" w:color="auto" w:sz="4" w:space="0"/>
              <w:right w:val="single" w:color="auto" w:sz="4" w:space="0"/>
            </w:tcBorders>
            <w:vAlign w:val="center"/>
          </w:tcPr>
          <w:p>
            <w:pPr>
              <w:pStyle w:val="133"/>
              <w:keepNext w:val="0"/>
              <w:keepLines w:val="0"/>
              <w:widowControl w:val="0"/>
              <w:shd w:val="clear" w:color="auto" w:fill="auto"/>
              <w:bidi w:val="0"/>
              <w:spacing w:before="0" w:after="0" w:line="351" w:lineRule="exact"/>
              <w:ind w:left="0" w:leftChars="0" w:right="0" w:rightChars="0" w:firstLine="0" w:firstLineChars="0"/>
              <w:jc w:val="center"/>
            </w:pPr>
            <w:r>
              <w:rPr>
                <w:rFonts w:ascii="宋体" w:hAnsi="宋体" w:eastAsia="宋体" w:cs="宋体"/>
                <w:color w:val="000000"/>
                <w:spacing w:val="0"/>
                <w:w w:val="100"/>
                <w:position w:val="0"/>
                <w:sz w:val="20"/>
                <w:szCs w:val="20"/>
                <w:u w:val="none"/>
                <w:shd w:val="clear" w:color="auto" w:fill="auto"/>
                <w:lang w:val="zh-TW" w:eastAsia="zh-TW" w:bidi="zh-TW"/>
              </w:rPr>
              <w:t>扁圆形、果顶微凹、果底平、 形状较一致</w:t>
            </w:r>
          </w:p>
        </w:tc>
        <w:tc>
          <w:tcPr>
            <w:tcW w:w="2360" w:type="dxa"/>
            <w:tcBorders>
              <w:top w:val="single" w:color="auto" w:sz="4" w:space="0"/>
              <w:left w:val="nil"/>
              <w:bottom w:val="single" w:color="auto" w:sz="4" w:space="0"/>
              <w:right w:val="single" w:color="auto" w:sz="4" w:space="0"/>
            </w:tcBorders>
            <w:vAlign w:val="center"/>
          </w:tcPr>
          <w:p>
            <w:pPr>
              <w:pStyle w:val="133"/>
              <w:keepNext w:val="0"/>
              <w:keepLines w:val="0"/>
              <w:widowControl w:val="0"/>
              <w:shd w:val="clear" w:color="auto" w:fill="auto"/>
              <w:bidi w:val="0"/>
              <w:spacing w:before="0" w:after="0" w:line="354" w:lineRule="exact"/>
              <w:ind w:left="0" w:leftChars="0" w:right="0" w:rightChars="0" w:firstLine="0" w:firstLineChars="0"/>
              <w:jc w:val="center"/>
            </w:pPr>
            <w:r>
              <w:rPr>
                <w:rFonts w:ascii="宋体" w:hAnsi="宋体" w:eastAsia="宋体" w:cs="宋体"/>
                <w:color w:val="000000"/>
                <w:spacing w:val="0"/>
                <w:w w:val="100"/>
                <w:position w:val="0"/>
                <w:sz w:val="20"/>
                <w:szCs w:val="20"/>
                <w:u w:val="none"/>
                <w:shd w:val="clear" w:color="auto" w:fill="auto"/>
                <w:lang w:val="zh-TW" w:eastAsia="zh-TW" w:bidi="zh-TW"/>
              </w:rPr>
              <w:t>扁圆形、果顶微凹、果底平、 果形尚端正、无明显畸形</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2492" w:type="dxa"/>
            <w:tcBorders>
              <w:top w:val="single" w:color="auto" w:sz="4" w:space="0"/>
              <w:left w:val="single" w:color="auto" w:sz="4" w:space="0"/>
              <w:bottom w:val="single" w:color="auto" w:sz="4" w:space="0"/>
              <w:right w:val="single" w:color="auto" w:sz="4" w:space="0"/>
            </w:tcBorders>
            <w:vAlign w:val="center"/>
          </w:tcPr>
          <w:p>
            <w:pPr>
              <w:pStyle w:val="133"/>
              <w:keepNext w:val="0"/>
              <w:keepLines w:val="0"/>
              <w:widowControl w:val="0"/>
              <w:shd w:val="clear" w:color="auto" w:fill="auto"/>
              <w:bidi w:val="0"/>
              <w:spacing w:before="0" w:after="0" w:line="240" w:lineRule="auto"/>
              <w:ind w:left="0" w:leftChars="0" w:right="0" w:rightChars="0" w:firstLine="140" w:firstLineChars="0"/>
              <w:jc w:val="center"/>
              <w:rPr>
                <w:rFonts w:hAnsi="宋体"/>
                <w:szCs w:val="18"/>
              </w:rPr>
            </w:pPr>
            <w:r>
              <w:rPr>
                <w:rFonts w:ascii="宋体" w:hAnsi="宋体" w:eastAsia="宋体" w:cs="宋体"/>
                <w:color w:val="000000"/>
                <w:spacing w:val="0"/>
                <w:w w:val="100"/>
                <w:position w:val="0"/>
                <w:sz w:val="20"/>
                <w:szCs w:val="20"/>
                <w:u w:val="none"/>
                <w:shd w:val="clear" w:color="auto" w:fill="auto"/>
                <w:lang w:val="zh-TW" w:eastAsia="zh-TW" w:bidi="zh-TW"/>
              </w:rPr>
              <w:t>果蒂</w:t>
            </w:r>
          </w:p>
        </w:tc>
        <w:tc>
          <w:tcPr>
            <w:tcW w:w="2359" w:type="dxa"/>
            <w:tcBorders>
              <w:top w:val="single" w:color="auto" w:sz="4" w:space="0"/>
              <w:left w:val="nil"/>
              <w:bottom w:val="single" w:color="auto" w:sz="4" w:space="0"/>
              <w:right w:val="single" w:color="auto" w:sz="4" w:space="0"/>
            </w:tcBorders>
            <w:vAlign w:val="center"/>
          </w:tcPr>
          <w:p>
            <w:pPr>
              <w:pStyle w:val="133"/>
              <w:keepNext w:val="0"/>
              <w:keepLines w:val="0"/>
              <w:widowControl w:val="0"/>
              <w:shd w:val="clear" w:color="auto" w:fill="auto"/>
              <w:bidi w:val="0"/>
              <w:spacing w:before="0" w:after="0" w:line="240" w:lineRule="auto"/>
              <w:ind w:left="0" w:leftChars="0" w:right="0" w:rightChars="0" w:firstLine="0" w:firstLineChars="0"/>
              <w:jc w:val="center"/>
              <w:rPr>
                <w:rFonts w:ascii="Times New Roman"/>
                <w:szCs w:val="18"/>
              </w:rPr>
            </w:pPr>
            <w:r>
              <w:rPr>
                <w:rFonts w:ascii="宋体" w:hAnsi="宋体" w:eastAsia="宋体" w:cs="宋体"/>
                <w:color w:val="000000"/>
                <w:spacing w:val="0"/>
                <w:w w:val="100"/>
                <w:position w:val="0"/>
                <w:sz w:val="20"/>
                <w:szCs w:val="20"/>
                <w:u w:val="none"/>
                <w:shd w:val="clear" w:color="auto" w:fill="auto"/>
                <w:lang w:val="zh-TW" w:eastAsia="zh-TW" w:bidi="zh-TW"/>
              </w:rPr>
              <w:t>果蒂完整、鲜绿色</w:t>
            </w:r>
          </w:p>
        </w:tc>
        <w:tc>
          <w:tcPr>
            <w:tcW w:w="2360" w:type="dxa"/>
            <w:tcBorders>
              <w:top w:val="single" w:color="auto" w:sz="4" w:space="0"/>
              <w:left w:val="nil"/>
              <w:bottom w:val="single" w:color="auto" w:sz="4" w:space="0"/>
              <w:right w:val="single" w:color="auto" w:sz="4" w:space="0"/>
            </w:tcBorders>
            <w:vAlign w:val="center"/>
          </w:tcPr>
          <w:p>
            <w:pPr>
              <w:pStyle w:val="133"/>
              <w:keepNext w:val="0"/>
              <w:keepLines w:val="0"/>
              <w:widowControl w:val="0"/>
              <w:shd w:val="clear" w:color="auto" w:fill="auto"/>
              <w:bidi w:val="0"/>
              <w:spacing w:before="0" w:after="0" w:line="240" w:lineRule="auto"/>
              <w:ind w:left="0" w:leftChars="0" w:right="0" w:rightChars="0" w:firstLine="0" w:firstLineChars="0"/>
              <w:jc w:val="center"/>
              <w:rPr>
                <w:rFonts w:ascii="Times New Roman"/>
                <w:szCs w:val="18"/>
              </w:rPr>
            </w:pPr>
            <w:r>
              <w:rPr>
                <w:rFonts w:ascii="宋体" w:hAnsi="宋体" w:eastAsia="宋体" w:cs="宋体"/>
                <w:color w:val="000000"/>
                <w:spacing w:val="0"/>
                <w:w w:val="100"/>
                <w:position w:val="0"/>
                <w:sz w:val="20"/>
                <w:szCs w:val="20"/>
                <w:u w:val="none"/>
                <w:shd w:val="clear" w:color="auto" w:fill="auto"/>
                <w:lang w:val="zh-TW" w:eastAsia="zh-TW" w:bidi="zh-TW"/>
              </w:rPr>
              <w:t>95%的果实果蒂完整</w:t>
            </w:r>
          </w:p>
        </w:tc>
        <w:tc>
          <w:tcPr>
            <w:tcW w:w="2360" w:type="dxa"/>
            <w:tcBorders>
              <w:top w:val="single" w:color="auto" w:sz="4" w:space="0"/>
              <w:left w:val="nil"/>
              <w:bottom w:val="single" w:color="auto" w:sz="4" w:space="0"/>
              <w:right w:val="single" w:color="auto" w:sz="4" w:space="0"/>
            </w:tcBorders>
            <w:vAlign w:val="center"/>
          </w:tcPr>
          <w:p>
            <w:pPr>
              <w:pStyle w:val="133"/>
              <w:keepNext w:val="0"/>
              <w:keepLines w:val="0"/>
              <w:widowControl w:val="0"/>
              <w:shd w:val="clear" w:color="auto" w:fill="auto"/>
              <w:bidi w:val="0"/>
              <w:spacing w:before="0" w:after="0" w:line="240" w:lineRule="auto"/>
              <w:ind w:left="0" w:leftChars="0" w:right="0" w:rightChars="0" w:firstLine="0" w:firstLineChars="0"/>
              <w:jc w:val="center"/>
              <w:rPr>
                <w:rFonts w:ascii="Times New Roman"/>
                <w:szCs w:val="18"/>
              </w:rPr>
            </w:pPr>
            <w:r>
              <w:rPr>
                <w:rFonts w:ascii="宋体" w:hAnsi="宋体" w:eastAsia="宋体" w:cs="宋体"/>
                <w:color w:val="000000"/>
                <w:spacing w:val="0"/>
                <w:w w:val="100"/>
                <w:position w:val="0"/>
                <w:sz w:val="20"/>
                <w:szCs w:val="20"/>
                <w:u w:val="none"/>
                <w:shd w:val="clear" w:color="auto" w:fill="auto"/>
                <w:lang w:val="zh-TW" w:eastAsia="zh-TW" w:bidi="zh-TW"/>
              </w:rPr>
              <w:t>90%的果实果蒂完整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2492" w:type="dxa"/>
            <w:tcBorders>
              <w:top w:val="single" w:color="auto" w:sz="4" w:space="0"/>
              <w:left w:val="single" w:color="auto" w:sz="4" w:space="0"/>
              <w:bottom w:val="single" w:color="auto" w:sz="4" w:space="0"/>
              <w:right w:val="single" w:color="auto" w:sz="4" w:space="0"/>
            </w:tcBorders>
            <w:vAlign w:val="center"/>
          </w:tcPr>
          <w:p>
            <w:pPr>
              <w:pStyle w:val="133"/>
              <w:keepNext w:val="0"/>
              <w:keepLines w:val="0"/>
              <w:widowControl w:val="0"/>
              <w:shd w:val="clear" w:color="auto" w:fill="auto"/>
              <w:bidi w:val="0"/>
              <w:spacing w:before="0" w:after="0" w:line="240" w:lineRule="auto"/>
              <w:ind w:left="0" w:leftChars="0" w:right="0" w:rightChars="0" w:firstLine="140" w:firstLineChars="0"/>
              <w:jc w:val="center"/>
              <w:rPr>
                <w:rFonts w:hAnsi="宋体"/>
                <w:szCs w:val="18"/>
              </w:rPr>
            </w:pPr>
            <w:r>
              <w:rPr>
                <w:rFonts w:ascii="宋体" w:hAnsi="宋体" w:eastAsia="宋体" w:cs="宋体"/>
                <w:color w:val="000000"/>
                <w:spacing w:val="0"/>
                <w:w w:val="100"/>
                <w:position w:val="0"/>
                <w:sz w:val="20"/>
                <w:szCs w:val="20"/>
                <w:u w:val="none"/>
                <w:shd w:val="clear" w:color="auto" w:fill="auto"/>
                <w:lang w:val="zh-TW" w:eastAsia="zh-TW" w:bidi="zh-TW"/>
              </w:rPr>
              <w:t>色泽</w:t>
            </w:r>
          </w:p>
        </w:tc>
        <w:tc>
          <w:tcPr>
            <w:tcW w:w="2359" w:type="dxa"/>
            <w:tcBorders>
              <w:top w:val="single" w:color="auto" w:sz="4" w:space="0"/>
              <w:left w:val="nil"/>
              <w:bottom w:val="single" w:color="auto" w:sz="4" w:space="0"/>
              <w:right w:val="single" w:color="auto" w:sz="4" w:space="0"/>
            </w:tcBorders>
            <w:vAlign w:val="center"/>
          </w:tcPr>
          <w:p>
            <w:pPr>
              <w:pStyle w:val="133"/>
              <w:keepNext w:val="0"/>
              <w:keepLines w:val="0"/>
              <w:widowControl w:val="0"/>
              <w:shd w:val="clear" w:color="auto" w:fill="auto"/>
              <w:bidi w:val="0"/>
              <w:spacing w:before="0" w:after="0" w:line="240" w:lineRule="auto"/>
              <w:ind w:left="0" w:leftChars="0" w:right="0" w:rightChars="0" w:firstLine="0" w:firstLineChars="0"/>
              <w:jc w:val="center"/>
              <w:rPr>
                <w:rFonts w:ascii="Times New Roman"/>
                <w:szCs w:val="18"/>
              </w:rPr>
            </w:pPr>
            <w:r>
              <w:rPr>
                <w:rFonts w:ascii="宋体" w:hAnsi="宋体" w:eastAsia="宋体" w:cs="宋体"/>
                <w:color w:val="000000"/>
                <w:spacing w:val="0"/>
                <w:w w:val="100"/>
                <w:position w:val="0"/>
                <w:sz w:val="20"/>
                <w:szCs w:val="20"/>
                <w:u w:val="none"/>
                <w:shd w:val="clear" w:color="auto" w:fill="auto"/>
                <w:lang w:val="zh-TW" w:eastAsia="zh-TW" w:bidi="zh-TW"/>
              </w:rPr>
              <w:t>橘红色</w:t>
            </w:r>
          </w:p>
        </w:tc>
        <w:tc>
          <w:tcPr>
            <w:tcW w:w="2360" w:type="dxa"/>
            <w:tcBorders>
              <w:top w:val="single" w:color="auto" w:sz="4" w:space="0"/>
              <w:left w:val="nil"/>
              <w:bottom w:val="single" w:color="auto" w:sz="4" w:space="0"/>
              <w:right w:val="single" w:color="auto" w:sz="4" w:space="0"/>
            </w:tcBorders>
            <w:vAlign w:val="center"/>
          </w:tcPr>
          <w:p>
            <w:pPr>
              <w:pStyle w:val="133"/>
              <w:keepNext w:val="0"/>
              <w:keepLines w:val="0"/>
              <w:widowControl w:val="0"/>
              <w:shd w:val="clear" w:color="auto" w:fill="auto"/>
              <w:bidi w:val="0"/>
              <w:spacing w:before="0" w:after="0" w:line="240" w:lineRule="auto"/>
              <w:ind w:left="0" w:leftChars="0" w:right="0" w:rightChars="0" w:firstLine="0" w:firstLineChars="0"/>
              <w:jc w:val="center"/>
              <w:rPr>
                <w:rFonts w:ascii="Times New Roman"/>
                <w:szCs w:val="18"/>
              </w:rPr>
            </w:pPr>
            <w:r>
              <w:rPr>
                <w:rFonts w:ascii="宋体" w:hAnsi="宋体" w:eastAsia="宋体" w:cs="宋体"/>
                <w:color w:val="000000"/>
                <w:spacing w:val="0"/>
                <w:w w:val="100"/>
                <w:position w:val="0"/>
                <w:sz w:val="20"/>
                <w:szCs w:val="20"/>
                <w:u w:val="none"/>
                <w:shd w:val="clear" w:color="auto" w:fill="auto"/>
                <w:lang w:val="zh-TW" w:eastAsia="zh-TW" w:bidi="zh-TW"/>
              </w:rPr>
              <w:t>淡橘红色</w:t>
            </w:r>
          </w:p>
        </w:tc>
        <w:tc>
          <w:tcPr>
            <w:tcW w:w="2360" w:type="dxa"/>
            <w:tcBorders>
              <w:top w:val="single" w:color="auto" w:sz="4" w:space="0"/>
              <w:left w:val="nil"/>
              <w:bottom w:val="single" w:color="auto" w:sz="4" w:space="0"/>
              <w:right w:val="single" w:color="auto" w:sz="4" w:space="0"/>
            </w:tcBorders>
            <w:vAlign w:val="center"/>
          </w:tcPr>
          <w:p>
            <w:pPr>
              <w:pStyle w:val="133"/>
              <w:keepNext w:val="0"/>
              <w:keepLines w:val="0"/>
              <w:widowControl w:val="0"/>
              <w:shd w:val="clear" w:color="auto" w:fill="auto"/>
              <w:bidi w:val="0"/>
              <w:spacing w:before="0" w:after="0" w:line="240" w:lineRule="auto"/>
              <w:ind w:left="0" w:leftChars="0" w:right="0" w:rightChars="0" w:firstLine="0" w:firstLineChars="0"/>
              <w:jc w:val="center"/>
              <w:rPr>
                <w:rFonts w:ascii="Times New Roman"/>
                <w:szCs w:val="18"/>
              </w:rPr>
            </w:pPr>
            <w:r>
              <w:rPr>
                <w:rFonts w:ascii="宋体" w:hAnsi="宋体" w:eastAsia="宋体" w:cs="宋体"/>
                <w:color w:val="000000"/>
                <w:spacing w:val="0"/>
                <w:w w:val="100"/>
                <w:position w:val="0"/>
                <w:sz w:val="20"/>
                <w:szCs w:val="20"/>
                <w:u w:val="none"/>
                <w:shd w:val="clear" w:color="auto" w:fill="auto"/>
                <w:lang w:val="zh-TW" w:eastAsia="zh-TW" w:bidi="zh-TW"/>
              </w:rPr>
              <w:t>浅橘红色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2492" w:type="dxa"/>
            <w:tcBorders>
              <w:top w:val="single" w:color="auto" w:sz="4" w:space="0"/>
              <w:left w:val="single" w:color="auto" w:sz="4" w:space="0"/>
              <w:bottom w:val="single" w:color="auto" w:sz="4" w:space="0"/>
              <w:right w:val="single" w:color="auto" w:sz="4" w:space="0"/>
            </w:tcBorders>
            <w:vAlign w:val="center"/>
          </w:tcPr>
          <w:p>
            <w:pPr>
              <w:pStyle w:val="133"/>
              <w:keepNext w:val="0"/>
              <w:keepLines w:val="0"/>
              <w:widowControl w:val="0"/>
              <w:shd w:val="clear" w:color="auto" w:fill="auto"/>
              <w:bidi w:val="0"/>
              <w:spacing w:before="0" w:after="0" w:line="348" w:lineRule="exact"/>
              <w:ind w:left="0" w:leftChars="0" w:right="0" w:rightChars="0" w:firstLine="0" w:firstLineChars="0"/>
              <w:jc w:val="center"/>
              <w:rPr>
                <w:rFonts w:hAnsi="宋体"/>
                <w:szCs w:val="18"/>
              </w:rPr>
            </w:pPr>
            <w:r>
              <w:rPr>
                <w:rFonts w:ascii="宋体" w:hAnsi="宋体" w:eastAsia="宋体" w:cs="宋体"/>
                <w:color w:val="000000"/>
                <w:spacing w:val="0"/>
                <w:w w:val="100"/>
                <w:position w:val="0"/>
                <w:sz w:val="20"/>
                <w:szCs w:val="20"/>
                <w:u w:val="none"/>
                <w:shd w:val="clear" w:color="auto" w:fill="auto"/>
                <w:lang w:val="zh-TW" w:eastAsia="zh-TW" w:bidi="zh-TW"/>
              </w:rPr>
              <w:t>果面</w:t>
            </w:r>
          </w:p>
        </w:tc>
        <w:tc>
          <w:tcPr>
            <w:tcW w:w="2359" w:type="dxa"/>
            <w:tcBorders>
              <w:top w:val="single" w:color="auto" w:sz="4" w:space="0"/>
              <w:left w:val="nil"/>
              <w:bottom w:val="single" w:color="auto" w:sz="4" w:space="0"/>
              <w:right w:val="single" w:color="auto" w:sz="4" w:space="0"/>
            </w:tcBorders>
            <w:vAlign w:val="bottom"/>
          </w:tcPr>
          <w:p>
            <w:pPr>
              <w:pStyle w:val="133"/>
              <w:keepNext w:val="0"/>
              <w:keepLines w:val="0"/>
              <w:widowControl w:val="0"/>
              <w:shd w:val="clear" w:color="auto" w:fill="auto"/>
              <w:bidi w:val="0"/>
              <w:spacing w:before="0" w:after="0" w:line="348" w:lineRule="exact"/>
              <w:ind w:left="0" w:leftChars="0" w:right="0" w:rightChars="0" w:firstLine="0" w:firstLineChars="0"/>
              <w:jc w:val="left"/>
              <w:rPr>
                <w:rFonts w:ascii="Times New Roman"/>
                <w:szCs w:val="18"/>
              </w:rPr>
            </w:pPr>
            <w:r>
              <w:rPr>
                <w:rFonts w:ascii="宋体" w:hAnsi="宋体" w:eastAsia="宋体" w:cs="宋体"/>
                <w:color w:val="000000"/>
                <w:spacing w:val="0"/>
                <w:w w:val="100"/>
                <w:position w:val="0"/>
                <w:sz w:val="20"/>
                <w:szCs w:val="20"/>
                <w:u w:val="none"/>
                <w:shd w:val="clear" w:color="auto" w:fill="auto"/>
                <w:lang w:val="zh-TW" w:eastAsia="zh-TW" w:bidi="zh-TW"/>
              </w:rPr>
              <w:t>果面洁净、油胞稍凸、密度中等、果皮光滑；无裂口、无深疤、无硬疤；网纹、锈蟠危害斑、青斑、溃疡病斑、煤烟菌迹、药迹、酚点及其它附着物的数量，单果斑点不超过2个，每个斑点直径不超过2</w:t>
            </w:r>
            <w:r>
              <w:rPr>
                <w:rFonts w:ascii="宋体" w:hAnsi="宋体" w:eastAsia="宋体" w:cs="宋体"/>
                <w:color w:val="000000"/>
                <w:spacing w:val="0"/>
                <w:w w:val="100"/>
                <w:position w:val="0"/>
                <w:sz w:val="20"/>
                <w:szCs w:val="20"/>
                <w:u w:val="none"/>
                <w:shd w:val="clear" w:color="auto" w:fill="auto"/>
                <w:lang w:val="en-US" w:eastAsia="en-US" w:bidi="zh-TW"/>
              </w:rPr>
              <w:t>mm</w:t>
            </w:r>
          </w:p>
        </w:tc>
        <w:tc>
          <w:tcPr>
            <w:tcW w:w="2360" w:type="dxa"/>
            <w:tcBorders>
              <w:top w:val="single" w:color="auto" w:sz="4" w:space="0"/>
              <w:left w:val="nil"/>
              <w:bottom w:val="single" w:color="auto" w:sz="4" w:space="0"/>
              <w:right w:val="single" w:color="auto" w:sz="4" w:space="0"/>
            </w:tcBorders>
            <w:vAlign w:val="bottom"/>
          </w:tcPr>
          <w:p>
            <w:pPr>
              <w:pStyle w:val="133"/>
              <w:keepNext w:val="0"/>
              <w:keepLines w:val="0"/>
              <w:widowControl w:val="0"/>
              <w:shd w:val="clear" w:color="auto" w:fill="auto"/>
              <w:bidi w:val="0"/>
              <w:spacing w:before="0" w:after="0" w:line="348" w:lineRule="exact"/>
              <w:ind w:left="0" w:leftChars="0" w:right="0" w:rightChars="0" w:firstLine="0" w:firstLineChars="0"/>
              <w:jc w:val="left"/>
              <w:rPr>
                <w:rFonts w:ascii="Times New Roman"/>
                <w:szCs w:val="18"/>
              </w:rPr>
            </w:pPr>
            <w:r>
              <w:rPr>
                <w:rFonts w:ascii="宋体" w:hAnsi="宋体" w:eastAsia="宋体" w:cs="宋体"/>
                <w:color w:val="000000"/>
                <w:spacing w:val="0"/>
                <w:w w:val="100"/>
                <w:position w:val="0"/>
                <w:sz w:val="20"/>
                <w:szCs w:val="20"/>
                <w:u w:val="none"/>
                <w:shd w:val="clear" w:color="auto" w:fill="auto"/>
                <w:lang w:val="zh-TW" w:eastAsia="zh-TW" w:bidi="zh-TW"/>
              </w:rPr>
              <w:t>果面洁净、油胞稍凸、密度中等、果皮光滑；无深疤、 硬疤、裂口；痕斑、网纹、枝叶磨伤、砂皮、青斑、油斑病斑、煤烟菌迹、药迹</w:t>
            </w:r>
            <w:r>
              <w:rPr>
                <w:rFonts w:hint="eastAsia" w:ascii="宋体" w:hAnsi="宋体" w:eastAsia="宋体" w:cs="宋体"/>
                <w:color w:val="000000"/>
                <w:spacing w:val="0"/>
                <w:w w:val="100"/>
                <w:position w:val="0"/>
                <w:sz w:val="20"/>
                <w:szCs w:val="20"/>
                <w:u w:val="none"/>
                <w:shd w:val="clear" w:color="auto" w:fill="auto"/>
                <w:lang w:val="zh-TW" w:eastAsia="zh-CN" w:bidi="zh-TW"/>
              </w:rPr>
              <w:t>、</w:t>
            </w:r>
            <w:r>
              <w:rPr>
                <w:rFonts w:ascii="宋体" w:hAnsi="宋体" w:eastAsia="宋体" w:cs="宋体"/>
                <w:color w:val="000000"/>
                <w:spacing w:val="0"/>
                <w:w w:val="100"/>
                <w:position w:val="0"/>
                <w:sz w:val="20"/>
                <w:szCs w:val="20"/>
                <w:u w:val="none"/>
                <w:shd w:val="clear" w:color="auto" w:fill="auto"/>
                <w:lang w:val="zh-TW" w:eastAsia="zh-TW" w:bidi="zh-TW"/>
              </w:rPr>
              <w:t>蛤点及其它附着物的数量， 单果斑点不超过4个，每个斑点直径不超过3</w:t>
            </w:r>
            <w:r>
              <w:rPr>
                <w:rFonts w:ascii="宋体" w:hAnsi="宋体" w:eastAsia="宋体" w:cs="宋体"/>
                <w:color w:val="000000"/>
                <w:spacing w:val="0"/>
                <w:w w:val="100"/>
                <w:position w:val="0"/>
                <w:sz w:val="20"/>
                <w:szCs w:val="20"/>
                <w:u w:val="none"/>
                <w:shd w:val="clear" w:color="auto" w:fill="auto"/>
                <w:lang w:val="en-US" w:eastAsia="en-US" w:bidi="zh-TW"/>
              </w:rPr>
              <w:t>mm</w:t>
            </w:r>
          </w:p>
        </w:tc>
        <w:tc>
          <w:tcPr>
            <w:tcW w:w="2360" w:type="dxa"/>
            <w:tcBorders>
              <w:top w:val="single" w:color="auto" w:sz="4" w:space="0"/>
              <w:left w:val="nil"/>
              <w:bottom w:val="single" w:color="auto" w:sz="4" w:space="0"/>
              <w:right w:val="single" w:color="auto" w:sz="4" w:space="0"/>
            </w:tcBorders>
            <w:vAlign w:val="bottom"/>
          </w:tcPr>
          <w:p>
            <w:pPr>
              <w:pStyle w:val="133"/>
              <w:keepNext w:val="0"/>
              <w:keepLines w:val="0"/>
              <w:widowControl w:val="0"/>
              <w:shd w:val="clear" w:color="auto" w:fill="auto"/>
              <w:bidi w:val="0"/>
              <w:spacing w:before="0" w:after="0" w:line="348" w:lineRule="exact"/>
              <w:ind w:left="0" w:leftChars="0" w:right="0" w:rightChars="0" w:firstLine="0" w:firstLineChars="0"/>
              <w:jc w:val="left"/>
              <w:rPr>
                <w:rFonts w:ascii="Times New Roman"/>
                <w:szCs w:val="18"/>
              </w:rPr>
            </w:pPr>
            <w:r>
              <w:rPr>
                <w:rFonts w:ascii="宋体" w:hAnsi="宋体" w:eastAsia="宋体" w:cs="宋体"/>
                <w:color w:val="000000"/>
                <w:spacing w:val="0"/>
                <w:w w:val="100"/>
                <w:position w:val="0"/>
                <w:sz w:val="20"/>
                <w:szCs w:val="20"/>
                <w:u w:val="none"/>
                <w:shd w:val="clear" w:color="auto" w:fill="auto"/>
                <w:lang w:val="zh-TW" w:eastAsia="zh-TW" w:bidi="zh-TW"/>
              </w:rPr>
              <w:t>果面洁净、油胞稍凸、密度中等、果皮光滑；无深疤、硬疤、裂口；痕斑、网纹、枝叶磨伤、砂皮、青斑、油斑病斑、煤烟菌迹、药迹、 蛤点及其它附着物的数量，单果斑点不超过6个，每个斑点直径不超过3</w:t>
            </w:r>
            <w:r>
              <w:rPr>
                <w:rFonts w:ascii="宋体" w:hAnsi="宋体" w:eastAsia="宋体" w:cs="宋体"/>
                <w:color w:val="000000"/>
                <w:spacing w:val="0"/>
                <w:w w:val="100"/>
                <w:position w:val="0"/>
                <w:sz w:val="20"/>
                <w:szCs w:val="20"/>
                <w:u w:val="none"/>
                <w:shd w:val="clear" w:color="auto" w:fill="auto"/>
                <w:lang w:val="en-US" w:eastAsia="en-US" w:bidi="zh-TW"/>
              </w:rPr>
              <w:t>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2492" w:type="dxa"/>
            <w:tcBorders>
              <w:top w:val="single" w:color="auto" w:sz="4" w:space="0"/>
              <w:left w:val="single" w:color="auto" w:sz="4" w:space="0"/>
              <w:bottom w:val="single" w:color="auto" w:sz="4" w:space="0"/>
              <w:right w:val="single" w:color="auto" w:sz="4" w:space="0"/>
            </w:tcBorders>
            <w:vAlign w:val="center"/>
          </w:tcPr>
          <w:p>
            <w:pPr>
              <w:pStyle w:val="133"/>
              <w:keepNext w:val="0"/>
              <w:keepLines w:val="0"/>
              <w:widowControl w:val="0"/>
              <w:shd w:val="clear" w:color="auto" w:fill="auto"/>
              <w:bidi w:val="0"/>
              <w:spacing w:before="0" w:after="0" w:line="348" w:lineRule="exact"/>
              <w:ind w:left="0" w:leftChars="0" w:right="0" w:rightChars="0" w:firstLine="0" w:firstLineChars="0"/>
              <w:jc w:val="center"/>
              <w:rPr>
                <w:rFonts w:hAnsi="宋体"/>
                <w:szCs w:val="18"/>
              </w:rPr>
            </w:pPr>
            <w:r>
              <w:rPr>
                <w:rFonts w:ascii="宋体" w:hAnsi="宋体" w:eastAsia="宋体" w:cs="宋体"/>
                <w:color w:val="000000"/>
                <w:spacing w:val="0"/>
                <w:w w:val="100"/>
                <w:position w:val="0"/>
                <w:sz w:val="20"/>
                <w:szCs w:val="20"/>
                <w:u w:val="none"/>
                <w:shd w:val="clear" w:color="auto" w:fill="auto"/>
                <w:lang w:val="zh-TW" w:eastAsia="zh-TW" w:bidi="zh-TW"/>
              </w:rPr>
              <w:t>果实横径，</w:t>
            </w:r>
            <w:r>
              <w:rPr>
                <w:rFonts w:ascii="宋体" w:hAnsi="宋体" w:eastAsia="宋体" w:cs="宋体"/>
                <w:color w:val="000000"/>
                <w:spacing w:val="0"/>
                <w:w w:val="100"/>
                <w:position w:val="0"/>
                <w:sz w:val="20"/>
                <w:szCs w:val="20"/>
                <w:u w:val="none"/>
                <w:shd w:val="clear" w:color="auto" w:fill="auto"/>
                <w:lang w:val="en-US" w:eastAsia="en-US" w:bidi="zh-TW"/>
              </w:rPr>
              <w:t>mm</w:t>
            </w:r>
          </w:p>
        </w:tc>
        <w:tc>
          <w:tcPr>
            <w:tcW w:w="2359" w:type="dxa"/>
            <w:tcBorders>
              <w:top w:val="single" w:color="auto" w:sz="4" w:space="0"/>
              <w:left w:val="nil"/>
              <w:bottom w:val="single" w:color="auto" w:sz="4" w:space="0"/>
              <w:right w:val="single" w:color="auto" w:sz="4" w:space="0"/>
            </w:tcBorders>
            <w:vAlign w:val="center"/>
          </w:tcPr>
          <w:p>
            <w:pPr>
              <w:pStyle w:val="133"/>
              <w:keepNext w:val="0"/>
              <w:keepLines w:val="0"/>
              <w:widowControl w:val="0"/>
              <w:shd w:val="clear" w:color="auto" w:fill="auto"/>
              <w:bidi w:val="0"/>
              <w:spacing w:before="0" w:after="0" w:line="348" w:lineRule="exact"/>
              <w:ind w:left="0" w:leftChars="0" w:right="0" w:rightChars="0" w:firstLine="0" w:firstLineChars="0"/>
              <w:jc w:val="center"/>
              <w:rPr>
                <w:rFonts w:ascii="Times New Roman"/>
                <w:szCs w:val="18"/>
              </w:rPr>
            </w:pPr>
            <w:r>
              <w:rPr>
                <w:rFonts w:ascii="宋体" w:hAnsi="宋体" w:eastAsia="宋体" w:cs="宋体"/>
                <w:color w:val="000000"/>
                <w:spacing w:val="0"/>
                <w:w w:val="100"/>
                <w:position w:val="0"/>
                <w:sz w:val="20"/>
                <w:szCs w:val="20"/>
                <w:u w:val="none"/>
                <w:shd w:val="clear" w:color="auto" w:fill="auto"/>
                <w:lang w:val="zh-TW" w:eastAsia="zh-TW" w:bidi="zh-TW"/>
              </w:rPr>
              <w:t>45〜50</w:t>
            </w:r>
          </w:p>
        </w:tc>
        <w:tc>
          <w:tcPr>
            <w:tcW w:w="2360" w:type="dxa"/>
            <w:tcBorders>
              <w:top w:val="single" w:color="auto" w:sz="4" w:space="0"/>
              <w:left w:val="nil"/>
              <w:bottom w:val="single" w:color="auto" w:sz="4" w:space="0"/>
              <w:right w:val="single" w:color="auto" w:sz="4" w:space="0"/>
            </w:tcBorders>
            <w:vAlign w:val="center"/>
          </w:tcPr>
          <w:p>
            <w:pPr>
              <w:pStyle w:val="133"/>
              <w:keepNext w:val="0"/>
              <w:keepLines w:val="0"/>
              <w:widowControl w:val="0"/>
              <w:shd w:val="clear" w:color="auto" w:fill="auto"/>
              <w:bidi w:val="0"/>
              <w:spacing w:before="0" w:after="0" w:line="348" w:lineRule="exact"/>
              <w:ind w:left="0" w:right="0" w:firstLine="0"/>
              <w:jc w:val="center"/>
              <w:rPr>
                <w:rFonts w:ascii="宋体" w:hAnsi="宋体" w:eastAsia="宋体" w:cs="宋体"/>
                <w:color w:val="000000"/>
                <w:spacing w:val="0"/>
                <w:w w:val="100"/>
                <w:position w:val="0"/>
                <w:sz w:val="20"/>
                <w:szCs w:val="20"/>
                <w:u w:val="none"/>
                <w:shd w:val="clear" w:color="auto" w:fill="auto"/>
                <w:lang w:val="zh-TW" w:eastAsia="zh-TW" w:bidi="zh-TW"/>
              </w:rPr>
            </w:pPr>
            <w:r>
              <w:rPr>
                <w:rFonts w:ascii="宋体" w:hAnsi="宋体" w:eastAsia="宋体" w:cs="宋体"/>
                <w:color w:val="000000"/>
                <w:spacing w:val="0"/>
                <w:w w:val="100"/>
                <w:position w:val="0"/>
                <w:sz w:val="20"/>
                <w:szCs w:val="20"/>
                <w:u w:val="none"/>
                <w:shd w:val="clear" w:color="auto" w:fill="auto"/>
                <w:lang w:val="zh-TW" w:eastAsia="zh-TW" w:bidi="zh-TW"/>
              </w:rPr>
              <w:t>40〜45</w:t>
            </w:r>
          </w:p>
          <w:p>
            <w:pPr>
              <w:pStyle w:val="133"/>
              <w:keepNext w:val="0"/>
              <w:keepLines w:val="0"/>
              <w:widowControl w:val="0"/>
              <w:shd w:val="clear" w:color="auto" w:fill="auto"/>
              <w:bidi w:val="0"/>
              <w:spacing w:before="0" w:after="0" w:line="348" w:lineRule="exact"/>
              <w:ind w:left="0" w:leftChars="0" w:right="0" w:rightChars="0" w:firstLine="0" w:firstLineChars="0"/>
              <w:jc w:val="center"/>
              <w:rPr>
                <w:szCs w:val="18"/>
              </w:rPr>
            </w:pPr>
            <w:r>
              <w:rPr>
                <w:rFonts w:ascii="宋体" w:hAnsi="宋体" w:eastAsia="宋体" w:cs="宋体"/>
                <w:color w:val="000000"/>
                <w:spacing w:val="0"/>
                <w:w w:val="100"/>
                <w:position w:val="0"/>
                <w:sz w:val="20"/>
                <w:szCs w:val="20"/>
                <w:u w:val="none"/>
                <w:shd w:val="clear" w:color="auto" w:fill="auto"/>
                <w:lang w:val="zh-TW" w:eastAsia="zh-TW" w:bidi="zh-TW"/>
              </w:rPr>
              <w:t>50〜53</w:t>
            </w:r>
          </w:p>
        </w:tc>
        <w:tc>
          <w:tcPr>
            <w:tcW w:w="2360" w:type="dxa"/>
            <w:tcBorders>
              <w:top w:val="single" w:color="auto" w:sz="4" w:space="0"/>
              <w:left w:val="nil"/>
              <w:bottom w:val="single" w:color="auto" w:sz="4" w:space="0"/>
              <w:right w:val="single" w:color="auto" w:sz="4" w:space="0"/>
            </w:tcBorders>
            <w:vAlign w:val="center"/>
          </w:tcPr>
          <w:p>
            <w:pPr>
              <w:pStyle w:val="133"/>
              <w:keepNext w:val="0"/>
              <w:keepLines w:val="0"/>
              <w:widowControl w:val="0"/>
              <w:shd w:val="clear" w:color="auto" w:fill="auto"/>
              <w:bidi w:val="0"/>
              <w:spacing w:before="0" w:after="0" w:line="348" w:lineRule="exact"/>
              <w:ind w:left="0" w:right="0" w:firstLine="0"/>
              <w:jc w:val="center"/>
              <w:rPr>
                <w:rFonts w:ascii="宋体" w:hAnsi="宋体" w:eastAsia="宋体" w:cs="宋体"/>
                <w:color w:val="000000"/>
                <w:spacing w:val="0"/>
                <w:w w:val="100"/>
                <w:position w:val="0"/>
                <w:sz w:val="20"/>
                <w:szCs w:val="20"/>
                <w:u w:val="none"/>
                <w:shd w:val="clear" w:color="auto" w:fill="auto"/>
                <w:lang w:val="zh-TW" w:eastAsia="zh-TW" w:bidi="zh-TW"/>
              </w:rPr>
            </w:pPr>
            <w:r>
              <w:rPr>
                <w:rFonts w:ascii="宋体" w:hAnsi="宋体" w:eastAsia="宋体" w:cs="宋体"/>
                <w:color w:val="000000"/>
                <w:spacing w:val="0"/>
                <w:w w:val="100"/>
                <w:position w:val="0"/>
                <w:sz w:val="20"/>
                <w:szCs w:val="20"/>
                <w:u w:val="none"/>
                <w:shd w:val="clear" w:color="auto" w:fill="auto"/>
                <w:lang w:val="zh-TW" w:eastAsia="zh-TW" w:bidi="zh-TW"/>
              </w:rPr>
              <w:t>30〜40</w:t>
            </w:r>
          </w:p>
          <w:p>
            <w:pPr>
              <w:pStyle w:val="133"/>
              <w:keepNext w:val="0"/>
              <w:keepLines w:val="0"/>
              <w:widowControl w:val="0"/>
              <w:shd w:val="clear" w:color="auto" w:fill="auto"/>
              <w:bidi w:val="0"/>
              <w:spacing w:before="0" w:after="0" w:line="348" w:lineRule="exact"/>
              <w:ind w:left="0" w:leftChars="0" w:right="0" w:rightChars="0" w:firstLine="0" w:firstLineChars="0"/>
              <w:jc w:val="center"/>
              <w:rPr>
                <w:rFonts w:hint="eastAsia"/>
                <w:szCs w:val="18"/>
              </w:rPr>
            </w:pPr>
            <w:r>
              <w:rPr>
                <w:rFonts w:ascii="宋体" w:hAnsi="宋体" w:eastAsia="宋体" w:cs="宋体"/>
                <w:color w:val="000000"/>
                <w:spacing w:val="0"/>
                <w:w w:val="100"/>
                <w:position w:val="0"/>
                <w:sz w:val="20"/>
                <w:szCs w:val="20"/>
                <w:u w:val="none"/>
                <w:shd w:val="clear" w:color="auto" w:fill="auto"/>
                <w:lang w:val="zh-TW" w:eastAsia="zh-TW" w:bidi="zh-TW"/>
              </w:rPr>
              <w:t>53〜55</w:t>
            </w:r>
          </w:p>
        </w:tc>
      </w:tr>
    </w:tbl>
    <w:p>
      <w:pPr>
        <w:widowControl/>
        <w:autoSpaceDE w:val="0"/>
        <w:autoSpaceDN w:val="0"/>
        <w:ind w:firstLine="420" w:firstLineChars="200"/>
        <w:jc w:val="center"/>
        <w:rPr>
          <w:rFonts w:hint="eastAsia" w:ascii="宋体" w:hAnsi="宋体" w:cs="宋体"/>
          <w:kern w:val="0"/>
          <w:szCs w:val="21"/>
        </w:rPr>
      </w:pPr>
    </w:p>
    <w:p>
      <w:pPr>
        <w:widowControl/>
        <w:autoSpaceDE w:val="0"/>
        <w:autoSpaceDN w:val="0"/>
        <w:ind w:firstLine="420" w:firstLineChars="200"/>
        <w:jc w:val="center"/>
        <w:rPr>
          <w:rFonts w:hint="eastAsia" w:ascii="宋体" w:hAnsi="宋体" w:cs="宋体"/>
          <w:kern w:val="0"/>
          <w:szCs w:val="21"/>
        </w:rPr>
      </w:pPr>
    </w:p>
    <w:p>
      <w:pPr>
        <w:widowControl/>
        <w:autoSpaceDE w:val="0"/>
        <w:autoSpaceDN w:val="0"/>
        <w:ind w:firstLine="420" w:firstLineChars="200"/>
        <w:jc w:val="center"/>
        <w:rPr>
          <w:rFonts w:hint="eastAsia" w:ascii="宋体" w:hAnsi="宋体" w:cs="宋体"/>
          <w:kern w:val="0"/>
          <w:szCs w:val="21"/>
        </w:rPr>
      </w:pPr>
    </w:p>
    <w:p>
      <w:pPr>
        <w:widowControl/>
        <w:autoSpaceDE w:val="0"/>
        <w:autoSpaceDN w:val="0"/>
        <w:ind w:firstLine="420" w:firstLineChars="200"/>
        <w:jc w:val="center"/>
        <w:rPr>
          <w:rFonts w:hint="eastAsia" w:ascii="宋体" w:hAnsi="宋体" w:cs="宋体"/>
          <w:kern w:val="0"/>
          <w:szCs w:val="21"/>
        </w:rPr>
      </w:pPr>
      <w:r>
        <w:rPr>
          <w:rFonts w:hint="eastAsia" w:ascii="宋体" w:hAnsi="宋体" w:cs="宋体"/>
          <w:kern w:val="0"/>
          <w:szCs w:val="21"/>
        </w:rPr>
        <w:t xml:space="preserve"> </w:t>
      </w:r>
    </w:p>
    <w:p>
      <w:pPr>
        <w:widowControl/>
        <w:autoSpaceDE w:val="0"/>
        <w:autoSpaceDN w:val="0"/>
        <w:spacing w:before="156" w:beforeLines="50" w:after="156" w:afterLines="50"/>
        <w:ind w:firstLine="420" w:firstLineChars="200"/>
        <w:jc w:val="center"/>
        <w:rPr>
          <w:rFonts w:hint="eastAsia" w:ascii="黑体" w:hAnsi="宋体" w:eastAsia="黑体" w:cs="宋体"/>
          <w:kern w:val="0"/>
          <w:szCs w:val="21"/>
        </w:rPr>
      </w:pPr>
      <w:r>
        <w:rPr>
          <w:rFonts w:hint="eastAsia" w:ascii="黑体" w:hAnsi="宋体" w:eastAsia="黑体" w:cs="宋体"/>
          <w:kern w:val="0"/>
          <w:szCs w:val="21"/>
        </w:rPr>
        <w:t>表</w:t>
      </w:r>
      <w:r>
        <w:rPr>
          <w:rFonts w:hint="eastAsia" w:ascii="黑体" w:hAnsi="宋体" w:eastAsia="黑体" w:cs="宋体"/>
          <w:kern w:val="0"/>
          <w:szCs w:val="21"/>
          <w:lang w:val="en-US" w:eastAsia="zh-CN"/>
        </w:rPr>
        <w:t>2</w:t>
      </w:r>
      <w:r>
        <w:rPr>
          <w:rFonts w:hint="eastAsia" w:ascii="黑体" w:hAnsi="宋体" w:eastAsia="黑体" w:cs="宋体"/>
          <w:kern w:val="0"/>
          <w:szCs w:val="21"/>
        </w:rPr>
        <w:t xml:space="preserve"> 果品理化指标</w:t>
      </w:r>
    </w:p>
    <w:tbl>
      <w:tblPr>
        <w:tblStyle w:val="34"/>
        <w:tblW w:w="9084" w:type="dxa"/>
        <w:jc w:val="center"/>
        <w:tblInd w:w="0" w:type="dxa"/>
        <w:tblLayout w:type="fixed"/>
        <w:tblCellMar>
          <w:top w:w="0" w:type="dxa"/>
          <w:left w:w="10" w:type="dxa"/>
          <w:bottom w:w="0" w:type="dxa"/>
          <w:right w:w="10" w:type="dxa"/>
        </w:tblCellMar>
      </w:tblPr>
      <w:tblGrid>
        <w:gridCol w:w="2419"/>
        <w:gridCol w:w="2212"/>
        <w:gridCol w:w="2212"/>
        <w:gridCol w:w="2241"/>
      </w:tblGrid>
      <w:tr>
        <w:tblPrEx>
          <w:tblLayout w:type="fixed"/>
          <w:tblCellMar>
            <w:top w:w="0" w:type="dxa"/>
            <w:left w:w="10" w:type="dxa"/>
            <w:bottom w:w="0" w:type="dxa"/>
            <w:right w:w="10" w:type="dxa"/>
          </w:tblCellMar>
        </w:tblPrEx>
        <w:trPr>
          <w:trHeight w:val="374" w:hRule="exact"/>
          <w:jc w:val="center"/>
        </w:trPr>
        <w:tc>
          <w:tcPr>
            <w:tcW w:w="2419"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rFonts w:ascii="宋体" w:hAnsi="宋体" w:eastAsia="宋体" w:cs="宋体"/>
                <w:color w:val="000000"/>
                <w:spacing w:val="0"/>
                <w:w w:val="100"/>
                <w:position w:val="0"/>
                <w:sz w:val="20"/>
                <w:szCs w:val="20"/>
                <w:u w:val="none"/>
                <w:shd w:val="clear" w:color="auto" w:fill="auto"/>
                <w:lang w:val="zh-TW" w:eastAsia="zh-TW" w:bidi="zh-TW"/>
              </w:rPr>
            </w:pPr>
            <w:r>
              <w:rPr>
                <w:rFonts w:ascii="宋体" w:hAnsi="宋体" w:eastAsia="宋体" w:cs="宋体"/>
                <w:color w:val="000000"/>
                <w:spacing w:val="0"/>
                <w:w w:val="100"/>
                <w:position w:val="0"/>
                <w:sz w:val="20"/>
                <w:szCs w:val="20"/>
                <w:u w:val="none"/>
                <w:shd w:val="clear" w:color="auto" w:fill="auto"/>
                <w:lang w:val="zh-TW" w:eastAsia="zh-TW" w:bidi="zh-TW"/>
              </w:rPr>
              <w:t>项目</w:t>
            </w:r>
          </w:p>
        </w:tc>
        <w:tc>
          <w:tcPr>
            <w:tcW w:w="2212"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rFonts w:ascii="宋体" w:hAnsi="宋体" w:eastAsia="宋体" w:cs="宋体"/>
                <w:color w:val="000000"/>
                <w:spacing w:val="0"/>
                <w:w w:val="100"/>
                <w:position w:val="0"/>
                <w:sz w:val="20"/>
                <w:szCs w:val="20"/>
                <w:u w:val="none"/>
                <w:shd w:val="clear" w:color="auto" w:fill="auto"/>
                <w:lang w:val="zh-TW" w:eastAsia="zh-TW" w:bidi="zh-TW"/>
              </w:rPr>
            </w:pPr>
            <w:r>
              <w:rPr>
                <w:rFonts w:ascii="宋体" w:hAnsi="宋体" w:eastAsia="宋体" w:cs="宋体"/>
                <w:color w:val="000000"/>
                <w:spacing w:val="0"/>
                <w:w w:val="100"/>
                <w:position w:val="0"/>
                <w:sz w:val="20"/>
                <w:szCs w:val="20"/>
                <w:u w:val="none"/>
                <w:shd w:val="clear" w:color="auto" w:fill="auto"/>
                <w:lang w:val="zh-TW" w:eastAsia="zh-TW" w:bidi="zh-TW"/>
              </w:rPr>
              <w:t>一级</w:t>
            </w:r>
          </w:p>
        </w:tc>
        <w:tc>
          <w:tcPr>
            <w:tcW w:w="2212"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rFonts w:ascii="宋体" w:hAnsi="宋体" w:eastAsia="宋体" w:cs="宋体"/>
                <w:color w:val="000000"/>
                <w:spacing w:val="0"/>
                <w:w w:val="100"/>
                <w:position w:val="0"/>
                <w:sz w:val="20"/>
                <w:szCs w:val="20"/>
                <w:u w:val="none"/>
                <w:shd w:val="clear" w:color="auto" w:fill="auto"/>
                <w:lang w:val="zh-TW" w:eastAsia="zh-TW" w:bidi="zh-TW"/>
              </w:rPr>
            </w:pPr>
            <w:r>
              <w:rPr>
                <w:rFonts w:ascii="宋体" w:hAnsi="宋体" w:eastAsia="宋体" w:cs="宋体"/>
                <w:color w:val="000000"/>
                <w:spacing w:val="0"/>
                <w:w w:val="100"/>
                <w:position w:val="0"/>
                <w:sz w:val="20"/>
                <w:szCs w:val="20"/>
                <w:u w:val="none"/>
                <w:shd w:val="clear" w:color="auto" w:fill="auto"/>
                <w:lang w:val="zh-TW" w:eastAsia="zh-TW" w:bidi="zh-TW"/>
              </w:rPr>
              <w:t>二级</w:t>
            </w:r>
          </w:p>
        </w:tc>
        <w:tc>
          <w:tcPr>
            <w:tcW w:w="2241" w:type="dxa"/>
            <w:tcBorders>
              <w:top w:val="single" w:color="auto" w:sz="4" w:space="0"/>
              <w:left w:val="single" w:color="auto" w:sz="4" w:space="0"/>
              <w:righ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rFonts w:ascii="宋体" w:hAnsi="宋体" w:eastAsia="宋体" w:cs="宋体"/>
                <w:color w:val="000000"/>
                <w:spacing w:val="0"/>
                <w:w w:val="100"/>
                <w:position w:val="0"/>
                <w:sz w:val="20"/>
                <w:szCs w:val="20"/>
                <w:u w:val="none"/>
                <w:shd w:val="clear" w:color="auto" w:fill="auto"/>
                <w:lang w:val="zh-TW" w:eastAsia="zh-TW" w:bidi="zh-TW"/>
              </w:rPr>
            </w:pPr>
            <w:r>
              <w:rPr>
                <w:rFonts w:ascii="宋体" w:hAnsi="宋体" w:eastAsia="宋体" w:cs="宋体"/>
                <w:color w:val="000000"/>
                <w:spacing w:val="0"/>
                <w:w w:val="100"/>
                <w:position w:val="0"/>
                <w:sz w:val="20"/>
                <w:szCs w:val="20"/>
                <w:u w:val="none"/>
                <w:shd w:val="clear" w:color="auto" w:fill="auto"/>
                <w:lang w:val="zh-TW" w:eastAsia="zh-TW" w:bidi="zh-TW"/>
              </w:rPr>
              <w:t>三级</w:t>
            </w:r>
          </w:p>
        </w:tc>
      </w:tr>
      <w:tr>
        <w:tblPrEx>
          <w:tblLayout w:type="fixed"/>
          <w:tblCellMar>
            <w:top w:w="0" w:type="dxa"/>
            <w:left w:w="10" w:type="dxa"/>
            <w:bottom w:w="0" w:type="dxa"/>
            <w:right w:w="10" w:type="dxa"/>
          </w:tblCellMar>
        </w:tblPrEx>
        <w:trPr>
          <w:trHeight w:val="374" w:hRule="exact"/>
          <w:jc w:val="center"/>
        </w:trPr>
        <w:tc>
          <w:tcPr>
            <w:tcW w:w="2419"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348" w:lineRule="exact"/>
              <w:ind w:left="0" w:right="0" w:firstLine="0"/>
              <w:jc w:val="left"/>
              <w:rPr>
                <w:rFonts w:hint="eastAsia" w:ascii="宋体" w:hAnsi="宋体" w:eastAsia="宋体" w:cs="宋体"/>
                <w:color w:val="000000"/>
                <w:spacing w:val="0"/>
                <w:w w:val="100"/>
                <w:position w:val="0"/>
                <w:sz w:val="20"/>
                <w:szCs w:val="20"/>
                <w:u w:val="none"/>
                <w:shd w:val="clear" w:color="auto" w:fill="auto"/>
                <w:lang w:val="zh-TW" w:eastAsia="zh-CN" w:bidi="zh-TW"/>
              </w:rPr>
            </w:pPr>
            <w:r>
              <w:rPr>
                <w:rFonts w:ascii="宋体" w:hAnsi="宋体" w:eastAsia="宋体" w:cs="宋体"/>
                <w:color w:val="000000"/>
                <w:spacing w:val="0"/>
                <w:w w:val="100"/>
                <w:position w:val="0"/>
                <w:sz w:val="20"/>
                <w:szCs w:val="20"/>
                <w:u w:val="none"/>
                <w:shd w:val="clear" w:color="auto" w:fill="auto"/>
                <w:lang w:val="zh-TW" w:eastAsia="zh-TW" w:bidi="zh-TW"/>
              </w:rPr>
              <w:t>可溶性固形物，%</w:t>
            </w:r>
            <w:r>
              <w:rPr>
                <w:rFonts w:ascii="宋体" w:hAnsi="宋体" w:eastAsia="宋体" w:cs="宋体"/>
                <w:color w:val="000000"/>
                <w:spacing w:val="0"/>
                <w:w w:val="100"/>
                <w:position w:val="0"/>
                <w:sz w:val="20"/>
                <w:szCs w:val="20"/>
                <w:u w:val="none"/>
                <w:shd w:val="clear" w:color="auto" w:fill="auto"/>
                <w:lang w:val="zh-TW" w:eastAsia="zh-TW" w:bidi="zh-TW"/>
              </w:rPr>
              <w:tab/>
            </w:r>
            <w:r>
              <w:rPr>
                <w:rFonts w:hint="eastAsia" w:ascii="宋体" w:hAnsi="宋体" w:eastAsia="宋体" w:cs="宋体"/>
                <w:color w:val="000000"/>
                <w:spacing w:val="0"/>
                <w:w w:val="100"/>
                <w:position w:val="0"/>
                <w:sz w:val="20"/>
                <w:szCs w:val="20"/>
                <w:u w:val="none"/>
                <w:shd w:val="clear" w:color="auto" w:fill="auto"/>
                <w:lang w:val="en-US" w:eastAsia="zh-CN" w:bidi="zh-TW"/>
              </w:rPr>
              <w:t xml:space="preserve"> ≥</w:t>
            </w:r>
          </w:p>
        </w:tc>
        <w:tc>
          <w:tcPr>
            <w:tcW w:w="2212"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lang w:val="en-US" w:eastAsia="en-US" w:bidi="en-US"/>
              </w:rPr>
              <w:t>14.0</w:t>
            </w:r>
          </w:p>
        </w:tc>
        <w:tc>
          <w:tcPr>
            <w:tcW w:w="2212"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lang w:val="en-US" w:eastAsia="en-US" w:bidi="en-US"/>
              </w:rPr>
              <w:t>13.0</w:t>
            </w:r>
          </w:p>
        </w:tc>
        <w:tc>
          <w:tcPr>
            <w:tcW w:w="2241" w:type="dxa"/>
            <w:tcBorders>
              <w:top w:val="single" w:color="auto" w:sz="4" w:space="0"/>
              <w:left w:val="single" w:color="auto" w:sz="4" w:space="0"/>
              <w:righ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lang w:val="en-US" w:eastAsia="en-US" w:bidi="en-US"/>
              </w:rPr>
              <w:t>12.0</w:t>
            </w:r>
          </w:p>
        </w:tc>
      </w:tr>
      <w:tr>
        <w:tblPrEx>
          <w:tblLayout w:type="fixed"/>
          <w:tblCellMar>
            <w:top w:w="0" w:type="dxa"/>
            <w:left w:w="10" w:type="dxa"/>
            <w:bottom w:w="0" w:type="dxa"/>
            <w:right w:w="10" w:type="dxa"/>
          </w:tblCellMar>
        </w:tblPrEx>
        <w:trPr>
          <w:trHeight w:val="380" w:hRule="exact"/>
          <w:jc w:val="center"/>
        </w:trPr>
        <w:tc>
          <w:tcPr>
            <w:tcW w:w="2419"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348" w:lineRule="exact"/>
              <w:ind w:left="0" w:right="0" w:firstLine="0"/>
              <w:jc w:val="left"/>
              <w:rPr>
                <w:rFonts w:hint="eastAsia" w:ascii="宋体" w:hAnsi="宋体" w:eastAsia="宋体" w:cs="宋体"/>
                <w:color w:val="000000"/>
                <w:spacing w:val="0"/>
                <w:w w:val="100"/>
                <w:position w:val="0"/>
                <w:sz w:val="20"/>
                <w:szCs w:val="20"/>
                <w:u w:val="none"/>
                <w:shd w:val="clear" w:color="auto" w:fill="auto"/>
                <w:lang w:val="zh-TW" w:eastAsia="zh-CN" w:bidi="zh-TW"/>
              </w:rPr>
            </w:pPr>
            <w:r>
              <w:rPr>
                <w:rFonts w:ascii="宋体" w:hAnsi="宋体" w:eastAsia="宋体" w:cs="宋体"/>
                <w:color w:val="000000"/>
                <w:spacing w:val="0"/>
                <w:w w:val="100"/>
                <w:position w:val="0"/>
                <w:sz w:val="20"/>
                <w:szCs w:val="20"/>
                <w:u w:val="none"/>
                <w:shd w:val="clear" w:color="auto" w:fill="auto"/>
                <w:lang w:val="zh-TW" w:eastAsia="zh-TW" w:bidi="zh-TW"/>
              </w:rPr>
              <w:t>总酸，%</w:t>
            </w:r>
            <w:r>
              <w:rPr>
                <w:rFonts w:ascii="宋体" w:hAnsi="宋体" w:eastAsia="宋体" w:cs="宋体"/>
                <w:color w:val="000000"/>
                <w:spacing w:val="0"/>
                <w:w w:val="100"/>
                <w:position w:val="0"/>
                <w:sz w:val="20"/>
                <w:szCs w:val="20"/>
                <w:u w:val="none"/>
                <w:shd w:val="clear" w:color="auto" w:fill="auto"/>
                <w:lang w:val="zh-TW" w:eastAsia="zh-TW" w:bidi="zh-TW"/>
              </w:rPr>
              <w:tab/>
            </w:r>
            <w:r>
              <w:rPr>
                <w:rFonts w:hint="eastAsia" w:cs="宋体"/>
                <w:color w:val="000000"/>
                <w:spacing w:val="0"/>
                <w:w w:val="100"/>
                <w:position w:val="0"/>
                <w:sz w:val="20"/>
                <w:szCs w:val="20"/>
                <w:u w:val="none"/>
                <w:shd w:val="clear" w:color="auto" w:fill="auto"/>
                <w:lang w:val="en-US" w:eastAsia="zh-CN" w:bidi="zh-TW"/>
              </w:rPr>
              <w:t xml:space="preserve">         </w:t>
            </w:r>
            <w:r>
              <w:rPr>
                <w:rFonts w:hint="eastAsia" w:ascii="宋体" w:hAnsi="宋体" w:eastAsia="宋体" w:cs="宋体"/>
                <w:color w:val="000000"/>
                <w:spacing w:val="0"/>
                <w:w w:val="100"/>
                <w:position w:val="0"/>
                <w:sz w:val="20"/>
                <w:szCs w:val="20"/>
                <w:u w:val="none"/>
                <w:shd w:val="clear" w:color="auto" w:fill="auto"/>
                <w:lang w:val="en-US" w:eastAsia="zh-CN" w:bidi="zh-TW"/>
              </w:rPr>
              <w:t>≤</w:t>
            </w:r>
          </w:p>
        </w:tc>
        <w:tc>
          <w:tcPr>
            <w:tcW w:w="2212"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lang w:val="en-US" w:eastAsia="en-US" w:bidi="en-US"/>
              </w:rPr>
              <w:t>0.</w:t>
            </w:r>
            <w:r>
              <w:rPr>
                <w:color w:val="000000"/>
                <w:spacing w:val="0"/>
                <w:w w:val="100"/>
                <w:position w:val="0"/>
                <w:sz w:val="18"/>
                <w:szCs w:val="18"/>
              </w:rPr>
              <w:t>40</w:t>
            </w:r>
          </w:p>
        </w:tc>
        <w:tc>
          <w:tcPr>
            <w:tcW w:w="2212"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lang w:val="en-US" w:eastAsia="en-US" w:bidi="en-US"/>
              </w:rPr>
              <w:t>0.</w:t>
            </w:r>
            <w:r>
              <w:rPr>
                <w:color w:val="000000"/>
                <w:spacing w:val="0"/>
                <w:w w:val="100"/>
                <w:position w:val="0"/>
                <w:sz w:val="18"/>
                <w:szCs w:val="18"/>
              </w:rPr>
              <w:t>45</w:t>
            </w:r>
          </w:p>
        </w:tc>
        <w:tc>
          <w:tcPr>
            <w:tcW w:w="2241" w:type="dxa"/>
            <w:tcBorders>
              <w:top w:val="single" w:color="auto" w:sz="4" w:space="0"/>
              <w:left w:val="single" w:color="auto" w:sz="4" w:space="0"/>
              <w:righ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lang w:val="en-US" w:eastAsia="en-US" w:bidi="en-US"/>
              </w:rPr>
              <w:t>0.</w:t>
            </w:r>
            <w:r>
              <w:rPr>
                <w:color w:val="000000"/>
                <w:spacing w:val="0"/>
                <w:w w:val="100"/>
                <w:position w:val="0"/>
                <w:sz w:val="18"/>
                <w:szCs w:val="18"/>
              </w:rPr>
              <w:t>55</w:t>
            </w:r>
          </w:p>
        </w:tc>
      </w:tr>
      <w:tr>
        <w:tblPrEx>
          <w:tblLayout w:type="fixed"/>
          <w:tblCellMar>
            <w:top w:w="0" w:type="dxa"/>
            <w:left w:w="10" w:type="dxa"/>
            <w:bottom w:w="0" w:type="dxa"/>
            <w:right w:w="10" w:type="dxa"/>
          </w:tblCellMar>
        </w:tblPrEx>
        <w:trPr>
          <w:trHeight w:val="380" w:hRule="exact"/>
          <w:jc w:val="center"/>
        </w:trPr>
        <w:tc>
          <w:tcPr>
            <w:tcW w:w="2419"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348" w:lineRule="exact"/>
              <w:ind w:left="0" w:right="0" w:firstLine="0"/>
              <w:jc w:val="left"/>
              <w:rPr>
                <w:rFonts w:ascii="宋体" w:hAnsi="宋体" w:eastAsia="宋体" w:cs="宋体"/>
                <w:color w:val="000000"/>
                <w:spacing w:val="0"/>
                <w:w w:val="100"/>
                <w:position w:val="0"/>
                <w:sz w:val="20"/>
                <w:szCs w:val="20"/>
                <w:u w:val="none"/>
                <w:shd w:val="clear" w:color="auto" w:fill="auto"/>
                <w:lang w:val="zh-TW" w:eastAsia="zh-TW" w:bidi="zh-TW"/>
              </w:rPr>
            </w:pPr>
            <w:r>
              <w:rPr>
                <w:rFonts w:ascii="宋体" w:hAnsi="宋体" w:eastAsia="宋体" w:cs="宋体"/>
                <w:color w:val="000000"/>
                <w:spacing w:val="0"/>
                <w:w w:val="100"/>
                <w:position w:val="0"/>
                <w:sz w:val="20"/>
                <w:szCs w:val="20"/>
                <w:u w:val="none"/>
                <w:shd w:val="clear" w:color="auto" w:fill="auto"/>
                <w:lang w:val="zh-TW" w:eastAsia="zh-TW" w:bidi="zh-TW"/>
              </w:rPr>
              <w:t>固酸比，</w:t>
            </w:r>
            <w:r>
              <w:rPr>
                <w:rFonts w:ascii="宋体" w:hAnsi="宋体" w:eastAsia="宋体" w:cs="宋体"/>
                <w:color w:val="000000"/>
                <w:spacing w:val="0"/>
                <w:w w:val="100"/>
                <w:position w:val="0"/>
                <w:sz w:val="20"/>
                <w:szCs w:val="20"/>
                <w:u w:val="none"/>
                <w:shd w:val="clear" w:color="auto" w:fill="auto"/>
                <w:lang w:val="zh-TW" w:eastAsia="zh-TW" w:bidi="zh-TW"/>
              </w:rPr>
              <w:tab/>
            </w:r>
            <w:r>
              <w:rPr>
                <w:rFonts w:hint="eastAsia" w:cs="宋体"/>
                <w:color w:val="000000"/>
                <w:spacing w:val="0"/>
                <w:w w:val="100"/>
                <w:position w:val="0"/>
                <w:sz w:val="20"/>
                <w:szCs w:val="20"/>
                <w:u w:val="none"/>
                <w:shd w:val="clear" w:color="auto" w:fill="auto"/>
                <w:lang w:val="en-US" w:eastAsia="zh-CN" w:bidi="zh-TW"/>
              </w:rPr>
              <w:t xml:space="preserve">         </w:t>
            </w:r>
            <w:r>
              <w:rPr>
                <w:rFonts w:hint="eastAsia" w:ascii="宋体" w:hAnsi="宋体" w:eastAsia="宋体" w:cs="宋体"/>
                <w:color w:val="000000"/>
                <w:spacing w:val="0"/>
                <w:w w:val="100"/>
                <w:position w:val="0"/>
                <w:sz w:val="20"/>
                <w:szCs w:val="20"/>
                <w:u w:val="none"/>
                <w:shd w:val="clear" w:color="auto" w:fill="auto"/>
                <w:lang w:val="en-US" w:eastAsia="zh-CN" w:bidi="zh-TW"/>
              </w:rPr>
              <w:t>≥</w:t>
            </w:r>
          </w:p>
        </w:tc>
        <w:tc>
          <w:tcPr>
            <w:tcW w:w="2212"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35</w:t>
            </w:r>
          </w:p>
        </w:tc>
        <w:tc>
          <w:tcPr>
            <w:tcW w:w="2212"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lang w:val="en-US" w:eastAsia="en-US" w:bidi="en-US"/>
              </w:rPr>
              <w:t>28.8</w:t>
            </w:r>
          </w:p>
        </w:tc>
        <w:tc>
          <w:tcPr>
            <w:tcW w:w="2241" w:type="dxa"/>
            <w:tcBorders>
              <w:top w:val="single" w:color="auto" w:sz="4" w:space="0"/>
              <w:left w:val="single" w:color="auto" w:sz="4" w:space="0"/>
              <w:righ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lang w:val="en-US" w:eastAsia="en-US" w:bidi="en-US"/>
              </w:rPr>
              <w:t>21.8</w:t>
            </w:r>
          </w:p>
        </w:tc>
      </w:tr>
      <w:tr>
        <w:tblPrEx>
          <w:tblLayout w:type="fixed"/>
          <w:tblCellMar>
            <w:top w:w="0" w:type="dxa"/>
            <w:left w:w="10" w:type="dxa"/>
            <w:bottom w:w="0" w:type="dxa"/>
            <w:right w:w="10" w:type="dxa"/>
          </w:tblCellMar>
        </w:tblPrEx>
        <w:trPr>
          <w:trHeight w:val="380" w:hRule="exact"/>
          <w:jc w:val="center"/>
        </w:trPr>
        <w:tc>
          <w:tcPr>
            <w:tcW w:w="2419"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348" w:lineRule="exact"/>
              <w:ind w:left="0" w:right="0" w:firstLine="0"/>
              <w:jc w:val="left"/>
              <w:rPr>
                <w:rFonts w:ascii="宋体" w:hAnsi="宋体" w:eastAsia="宋体" w:cs="宋体"/>
                <w:color w:val="000000"/>
                <w:spacing w:val="0"/>
                <w:w w:val="100"/>
                <w:position w:val="0"/>
                <w:sz w:val="20"/>
                <w:szCs w:val="20"/>
                <w:u w:val="none"/>
                <w:shd w:val="clear" w:color="auto" w:fill="auto"/>
                <w:lang w:val="zh-TW" w:eastAsia="zh-TW" w:bidi="zh-TW"/>
              </w:rPr>
            </w:pPr>
            <w:r>
              <w:rPr>
                <w:rFonts w:ascii="宋体" w:hAnsi="宋体" w:eastAsia="宋体" w:cs="宋体"/>
                <w:color w:val="000000"/>
                <w:spacing w:val="0"/>
                <w:w w:val="100"/>
                <w:position w:val="0"/>
                <w:sz w:val="20"/>
                <w:szCs w:val="20"/>
                <w:u w:val="none"/>
                <w:shd w:val="clear" w:color="auto" w:fill="auto"/>
                <w:lang w:val="zh-TW" w:eastAsia="zh-TW" w:bidi="zh-TW"/>
              </w:rPr>
              <w:t>可食率，%</w:t>
            </w:r>
            <w:r>
              <w:rPr>
                <w:rFonts w:ascii="宋体" w:hAnsi="宋体" w:eastAsia="宋体" w:cs="宋体"/>
                <w:color w:val="000000"/>
                <w:spacing w:val="0"/>
                <w:w w:val="100"/>
                <w:position w:val="0"/>
                <w:sz w:val="20"/>
                <w:szCs w:val="20"/>
                <w:u w:val="none"/>
                <w:shd w:val="clear" w:color="auto" w:fill="auto"/>
                <w:lang w:val="zh-TW" w:eastAsia="zh-TW" w:bidi="zh-TW"/>
              </w:rPr>
              <w:tab/>
            </w:r>
            <w:r>
              <w:rPr>
                <w:rFonts w:hint="eastAsia" w:cs="宋体"/>
                <w:color w:val="000000"/>
                <w:spacing w:val="0"/>
                <w:w w:val="100"/>
                <w:position w:val="0"/>
                <w:sz w:val="20"/>
                <w:szCs w:val="20"/>
                <w:u w:val="none"/>
                <w:shd w:val="clear" w:color="auto" w:fill="auto"/>
                <w:lang w:val="en-US" w:eastAsia="zh-CN" w:bidi="zh-TW"/>
              </w:rPr>
              <w:t xml:space="preserve">     </w:t>
            </w:r>
            <w:r>
              <w:rPr>
                <w:rFonts w:hint="eastAsia" w:ascii="宋体" w:hAnsi="宋体" w:eastAsia="宋体" w:cs="宋体"/>
                <w:color w:val="000000"/>
                <w:spacing w:val="0"/>
                <w:w w:val="100"/>
                <w:position w:val="0"/>
                <w:sz w:val="20"/>
                <w:szCs w:val="20"/>
                <w:u w:val="none"/>
                <w:shd w:val="clear" w:color="auto" w:fill="auto"/>
                <w:lang w:val="en-US" w:eastAsia="zh-CN" w:bidi="zh-TW"/>
              </w:rPr>
              <w:t>≥</w:t>
            </w:r>
          </w:p>
        </w:tc>
        <w:tc>
          <w:tcPr>
            <w:tcW w:w="2212"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75</w:t>
            </w:r>
          </w:p>
        </w:tc>
        <w:tc>
          <w:tcPr>
            <w:tcW w:w="2212"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70</w:t>
            </w:r>
          </w:p>
        </w:tc>
        <w:tc>
          <w:tcPr>
            <w:tcW w:w="2241" w:type="dxa"/>
            <w:tcBorders>
              <w:top w:val="single" w:color="auto" w:sz="4" w:space="0"/>
              <w:left w:val="single" w:color="auto" w:sz="4" w:space="0"/>
              <w:righ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65</w:t>
            </w:r>
          </w:p>
        </w:tc>
      </w:tr>
      <w:tr>
        <w:tblPrEx>
          <w:tblLayout w:type="fixed"/>
          <w:tblCellMar>
            <w:top w:w="0" w:type="dxa"/>
            <w:left w:w="10" w:type="dxa"/>
            <w:bottom w:w="0" w:type="dxa"/>
            <w:right w:w="10" w:type="dxa"/>
          </w:tblCellMar>
        </w:tblPrEx>
        <w:trPr>
          <w:trHeight w:val="392" w:hRule="exact"/>
          <w:jc w:val="center"/>
        </w:trPr>
        <w:tc>
          <w:tcPr>
            <w:tcW w:w="2419" w:type="dxa"/>
            <w:tcBorders>
              <w:top w:val="single" w:color="auto" w:sz="4" w:space="0"/>
              <w:left w:val="single" w:color="auto" w:sz="4" w:space="0"/>
              <w:bottom w:val="single" w:color="auto" w:sz="4" w:space="0"/>
            </w:tcBorders>
            <w:shd w:val="clear" w:color="auto" w:fill="auto"/>
            <w:vAlign w:val="center"/>
          </w:tcPr>
          <w:p>
            <w:pPr>
              <w:pStyle w:val="133"/>
              <w:keepNext w:val="0"/>
              <w:keepLines w:val="0"/>
              <w:widowControl w:val="0"/>
              <w:shd w:val="clear" w:color="auto" w:fill="auto"/>
              <w:bidi w:val="0"/>
              <w:spacing w:before="0" w:after="0" w:line="348" w:lineRule="exact"/>
              <w:ind w:left="0" w:right="0" w:firstLine="0"/>
              <w:jc w:val="left"/>
              <w:rPr>
                <w:rFonts w:ascii="宋体" w:hAnsi="宋体" w:eastAsia="宋体" w:cs="宋体"/>
                <w:color w:val="000000"/>
                <w:spacing w:val="0"/>
                <w:w w:val="100"/>
                <w:position w:val="0"/>
                <w:sz w:val="20"/>
                <w:szCs w:val="20"/>
                <w:u w:val="none"/>
                <w:shd w:val="clear" w:color="auto" w:fill="auto"/>
                <w:lang w:val="zh-TW" w:eastAsia="zh-TW" w:bidi="zh-TW"/>
              </w:rPr>
            </w:pPr>
            <w:r>
              <w:rPr>
                <w:rFonts w:ascii="宋体" w:hAnsi="宋体" w:eastAsia="宋体" w:cs="宋体"/>
                <w:color w:val="000000"/>
                <w:spacing w:val="0"/>
                <w:w w:val="100"/>
                <w:position w:val="0"/>
                <w:sz w:val="20"/>
                <w:szCs w:val="20"/>
                <w:u w:val="none"/>
                <w:shd w:val="clear" w:color="auto" w:fill="auto"/>
                <w:lang w:val="zh-TW" w:eastAsia="zh-TW" w:bidi="zh-TW"/>
              </w:rPr>
              <w:t>无核率，%</w:t>
            </w:r>
            <w:r>
              <w:rPr>
                <w:rFonts w:ascii="宋体" w:hAnsi="宋体" w:eastAsia="宋体" w:cs="宋体"/>
                <w:color w:val="000000"/>
                <w:spacing w:val="0"/>
                <w:w w:val="100"/>
                <w:position w:val="0"/>
                <w:sz w:val="20"/>
                <w:szCs w:val="20"/>
                <w:u w:val="none"/>
                <w:shd w:val="clear" w:color="auto" w:fill="auto"/>
                <w:lang w:val="zh-TW" w:eastAsia="zh-TW" w:bidi="zh-TW"/>
              </w:rPr>
              <w:tab/>
            </w:r>
            <w:r>
              <w:rPr>
                <w:rFonts w:hint="eastAsia" w:cs="宋体"/>
                <w:color w:val="000000"/>
                <w:spacing w:val="0"/>
                <w:w w:val="100"/>
                <w:position w:val="0"/>
                <w:sz w:val="20"/>
                <w:szCs w:val="20"/>
                <w:u w:val="none"/>
                <w:shd w:val="clear" w:color="auto" w:fill="auto"/>
                <w:lang w:val="en-US" w:eastAsia="zh-CN" w:bidi="zh-TW"/>
              </w:rPr>
              <w:t xml:space="preserve">     </w:t>
            </w:r>
            <w:r>
              <w:rPr>
                <w:rFonts w:hint="eastAsia" w:ascii="宋体" w:hAnsi="宋体" w:eastAsia="宋体" w:cs="宋体"/>
                <w:color w:val="000000"/>
                <w:spacing w:val="0"/>
                <w:w w:val="100"/>
                <w:position w:val="0"/>
                <w:sz w:val="20"/>
                <w:szCs w:val="20"/>
                <w:u w:val="none"/>
                <w:shd w:val="clear" w:color="auto" w:fill="auto"/>
                <w:lang w:val="en-US" w:eastAsia="zh-CN" w:bidi="zh-TW"/>
              </w:rPr>
              <w:t>≥</w:t>
            </w:r>
            <w:r>
              <w:rPr>
                <w:rFonts w:hint="eastAsia" w:cs="宋体"/>
                <w:color w:val="000000"/>
                <w:spacing w:val="0"/>
                <w:w w:val="100"/>
                <w:position w:val="0"/>
                <w:sz w:val="20"/>
                <w:szCs w:val="20"/>
                <w:u w:val="none"/>
                <w:shd w:val="clear" w:color="auto" w:fill="auto"/>
                <w:lang w:val="en-US" w:eastAsia="zh-CN" w:bidi="zh-TW"/>
              </w:rPr>
              <w:t xml:space="preserve">  </w:t>
            </w:r>
          </w:p>
        </w:tc>
        <w:tc>
          <w:tcPr>
            <w:tcW w:w="2212" w:type="dxa"/>
            <w:tcBorders>
              <w:top w:val="single" w:color="auto" w:sz="4" w:space="0"/>
              <w:left w:val="single" w:color="auto" w:sz="4" w:space="0"/>
              <w:bottom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95</w:t>
            </w:r>
          </w:p>
        </w:tc>
        <w:tc>
          <w:tcPr>
            <w:tcW w:w="2212" w:type="dxa"/>
            <w:tcBorders>
              <w:top w:val="single" w:color="auto" w:sz="4" w:space="0"/>
              <w:left w:val="single" w:color="auto" w:sz="4" w:space="0"/>
              <w:bottom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w:t>
            </w:r>
          </w:p>
        </w:tc>
        <w:tc>
          <w:tcPr>
            <w:tcW w:w="224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33"/>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w:t>
            </w:r>
          </w:p>
        </w:tc>
      </w:tr>
    </w:tbl>
    <w:p>
      <w:pPr>
        <w:pStyle w:val="36"/>
        <w:rPr>
          <w:rFonts w:hint="eastAsia"/>
        </w:rPr>
      </w:pPr>
      <w:bookmarkStart w:id="51" w:name="_Toc492975147"/>
      <w:r>
        <w:rPr>
          <w:rFonts w:hint="eastAsia"/>
        </w:rPr>
        <w:t>级内果基本条件</w:t>
      </w:r>
      <w:bookmarkEnd w:id="51"/>
    </w:p>
    <w:p>
      <w:pPr>
        <w:pStyle w:val="37"/>
        <w:spacing w:before="156" w:after="156"/>
        <w:ind w:left="0"/>
        <w:rPr>
          <w:rFonts w:hint="eastAsia"/>
        </w:rPr>
      </w:pPr>
      <w:bookmarkStart w:id="52" w:name="_Toc492975148"/>
    </w:p>
    <w:p>
      <w:pPr>
        <w:pStyle w:val="20"/>
        <w:ind w:left="0" w:leftChars="0" w:firstLine="420" w:firstLineChars="200"/>
        <w:rPr>
          <w:rFonts w:hint="eastAsia"/>
        </w:rPr>
      </w:pPr>
      <w:r>
        <w:rPr>
          <w:rFonts w:hint="eastAsia"/>
        </w:rPr>
        <w:t>有机械伤或虫伤，或枯水、褐斑、水肿、冻伤、日灼伤等病变，以及其它呈腐烂的病果不得入级内。</w:t>
      </w:r>
    </w:p>
    <w:p>
      <w:pPr>
        <w:pStyle w:val="37"/>
        <w:spacing w:before="156" w:after="156"/>
        <w:ind w:left="0"/>
        <w:rPr>
          <w:rFonts w:hint="eastAsia"/>
        </w:rPr>
      </w:pPr>
    </w:p>
    <w:p>
      <w:pPr>
        <w:pStyle w:val="20"/>
        <w:rPr>
          <w:rFonts w:hint="eastAsia"/>
        </w:rPr>
      </w:pPr>
      <w:r>
        <w:rPr>
          <w:rFonts w:hint="eastAsia"/>
        </w:rPr>
        <w:t>级内果不得有植物检疫病虫害。</w:t>
      </w:r>
    </w:p>
    <w:p>
      <w:pPr>
        <w:pStyle w:val="36"/>
        <w:rPr>
          <w:rFonts w:hint="eastAsia"/>
        </w:rPr>
      </w:pPr>
      <w:r>
        <w:rPr>
          <w:rFonts w:hint="eastAsia"/>
          <w:lang w:eastAsia="zh-CN"/>
        </w:rPr>
        <w:t>安全</w:t>
      </w:r>
      <w:r>
        <w:rPr>
          <w:rFonts w:hint="eastAsia"/>
        </w:rPr>
        <w:t>卫生指标</w:t>
      </w:r>
      <w:bookmarkEnd w:id="52"/>
    </w:p>
    <w:p>
      <w:pPr>
        <w:pStyle w:val="90"/>
        <w:ind w:firstLine="420" w:firstLineChars="200"/>
        <w:rPr>
          <w:rFonts w:hint="eastAsia" w:ascii="宋体" w:hAnsi="宋体"/>
        </w:rPr>
      </w:pPr>
      <w:r>
        <w:rPr>
          <w:rFonts w:hint="eastAsia" w:ascii="宋体" w:hAnsi="宋体"/>
        </w:rPr>
        <w:t>应符合表3的规定。</w:t>
      </w:r>
    </w:p>
    <w:p>
      <w:pPr>
        <w:pStyle w:val="90"/>
        <w:ind w:firstLine="420" w:firstLineChars="200"/>
        <w:jc w:val="center"/>
        <w:rPr>
          <w:rFonts w:hint="eastAsia" w:ascii="黑体" w:hAnsi="宋体" w:eastAsia="黑体" w:cs="宋体"/>
          <w:kern w:val="0"/>
          <w:szCs w:val="21"/>
        </w:rPr>
      </w:pPr>
      <w:r>
        <w:rPr>
          <w:rFonts w:hint="eastAsia" w:ascii="黑体" w:hAnsi="宋体" w:eastAsia="黑体" w:cs="宋体"/>
          <w:kern w:val="0"/>
          <w:szCs w:val="21"/>
        </w:rPr>
        <w:t>表</w:t>
      </w:r>
      <w:r>
        <w:rPr>
          <w:rFonts w:hint="eastAsia" w:ascii="黑体" w:hAnsi="宋体" w:eastAsia="黑体" w:cs="宋体"/>
          <w:kern w:val="0"/>
          <w:szCs w:val="21"/>
          <w:lang w:val="en-US" w:eastAsia="zh-CN"/>
        </w:rPr>
        <w:t>3</w:t>
      </w:r>
      <w:r>
        <w:rPr>
          <w:rFonts w:hint="eastAsia" w:ascii="黑体" w:hAnsi="宋体" w:eastAsia="黑体" w:cs="宋体"/>
          <w:kern w:val="0"/>
          <w:szCs w:val="21"/>
        </w:rPr>
        <w:t xml:space="preserve"> 沙糖桔鲜果安全卫生指标</w:t>
      </w:r>
    </w:p>
    <w:tbl>
      <w:tblPr>
        <w:tblStyle w:val="34"/>
        <w:tblW w:w="9061" w:type="dxa"/>
        <w:jc w:val="center"/>
        <w:tblInd w:w="0" w:type="dxa"/>
        <w:tblLayout w:type="fixed"/>
        <w:tblCellMar>
          <w:top w:w="0" w:type="dxa"/>
          <w:left w:w="10" w:type="dxa"/>
          <w:bottom w:w="0" w:type="dxa"/>
          <w:right w:w="10" w:type="dxa"/>
        </w:tblCellMar>
      </w:tblPr>
      <w:tblGrid>
        <w:gridCol w:w="4516"/>
        <w:gridCol w:w="4545"/>
      </w:tblGrid>
      <w:tr>
        <w:tblPrEx>
          <w:tblLayout w:type="fixed"/>
          <w:tblCellMar>
            <w:top w:w="0" w:type="dxa"/>
            <w:left w:w="10" w:type="dxa"/>
            <w:bottom w:w="0" w:type="dxa"/>
            <w:right w:w="10" w:type="dxa"/>
          </w:tblCellMar>
        </w:tblPrEx>
        <w:trPr>
          <w:trHeight w:val="278" w:hRule="exact"/>
          <w:jc w:val="center"/>
        </w:trPr>
        <w:tc>
          <w:tcPr>
            <w:tcW w:w="9061" w:type="dxa"/>
            <w:gridSpan w:val="2"/>
            <w:shd w:val="clear" w:color="auto" w:fill="auto"/>
            <w:vAlign w:val="top"/>
          </w:tcPr>
          <w:p>
            <w:pPr>
              <w:pStyle w:val="133"/>
              <w:keepNext w:val="0"/>
              <w:keepLines w:val="0"/>
              <w:widowControl w:val="0"/>
              <w:shd w:val="clear" w:color="auto" w:fill="auto"/>
              <w:tabs>
                <w:tab w:val="left" w:pos="4011"/>
              </w:tabs>
              <w:bidi w:val="0"/>
              <w:spacing w:before="0" w:after="0" w:line="240" w:lineRule="auto"/>
              <w:ind w:left="0" w:right="0" w:firstLine="7908" w:firstLineChars="3954"/>
              <w:jc w:val="both"/>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CN" w:bidi="zh-TW"/>
              </w:rPr>
              <w:t>单位：</w:t>
            </w:r>
            <w:r>
              <w:rPr>
                <w:rFonts w:hint="eastAsia" w:ascii="宋体" w:hAnsi="宋体" w:eastAsia="宋体" w:cs="宋体"/>
                <w:color w:val="000000"/>
                <w:spacing w:val="0"/>
                <w:w w:val="100"/>
                <w:position w:val="0"/>
                <w:sz w:val="20"/>
                <w:szCs w:val="20"/>
                <w:u w:val="none"/>
                <w:shd w:val="clear" w:color="auto" w:fill="auto"/>
                <w:lang w:val="en-US" w:eastAsia="en-US" w:bidi="zh-TW"/>
              </w:rPr>
              <w:t>mg/kg</w:t>
            </w:r>
          </w:p>
        </w:tc>
      </w:tr>
      <w:tr>
        <w:tblPrEx>
          <w:tblLayout w:type="fixed"/>
          <w:tblCellMar>
            <w:top w:w="0" w:type="dxa"/>
            <w:left w:w="10" w:type="dxa"/>
            <w:bottom w:w="0" w:type="dxa"/>
            <w:right w:w="10" w:type="dxa"/>
          </w:tblCellMar>
        </w:tblPrEx>
        <w:trPr>
          <w:trHeight w:val="363" w:hRule="exact"/>
          <w:jc w:val="center"/>
        </w:trPr>
        <w:tc>
          <w:tcPr>
            <w:tcW w:w="4516" w:type="dxa"/>
            <w:tcBorders>
              <w:top w:val="single" w:color="auto" w:sz="4" w:space="0"/>
              <w:left w:val="single" w:color="auto" w:sz="4" w:space="0"/>
            </w:tcBorders>
            <w:shd w:val="clear" w:color="auto" w:fill="auto"/>
            <w:vAlign w:val="bottom"/>
          </w:tcPr>
          <w:p>
            <w:pPr>
              <w:pStyle w:val="133"/>
              <w:keepNext w:val="0"/>
              <w:keepLines w:val="0"/>
              <w:widowControl w:val="0"/>
              <w:shd w:val="clear" w:color="auto" w:fill="auto"/>
              <w:tabs>
                <w:tab w:val="left" w:pos="4011"/>
              </w:tabs>
              <w:bidi w:val="0"/>
              <w:spacing w:before="0" w:after="0" w:line="240" w:lineRule="auto"/>
              <w:ind w:left="0" w:right="0" w:firstLine="140"/>
              <w:jc w:val="both"/>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CN" w:bidi="zh-TW"/>
              </w:rPr>
              <w:t>项目名称</w:t>
            </w:r>
          </w:p>
        </w:tc>
        <w:tc>
          <w:tcPr>
            <w:tcW w:w="4545" w:type="dxa"/>
            <w:tcBorders>
              <w:top w:val="single" w:color="auto" w:sz="4" w:space="0"/>
              <w:left w:val="single" w:color="auto" w:sz="4" w:space="0"/>
              <w:right w:val="single" w:color="auto" w:sz="4" w:space="0"/>
            </w:tcBorders>
            <w:shd w:val="clear" w:color="auto" w:fill="auto"/>
            <w:vAlign w:val="bottom"/>
          </w:tcPr>
          <w:p>
            <w:pPr>
              <w:pStyle w:val="133"/>
              <w:keepNext w:val="0"/>
              <w:keepLines w:val="0"/>
              <w:widowControl w:val="0"/>
              <w:shd w:val="clear" w:color="auto" w:fill="auto"/>
              <w:tabs>
                <w:tab w:val="left" w:pos="4011"/>
              </w:tabs>
              <w:bidi w:val="0"/>
              <w:spacing w:before="0" w:after="0" w:line="240" w:lineRule="auto"/>
              <w:ind w:left="0" w:right="0" w:firstLine="140"/>
              <w:jc w:val="center"/>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CN" w:bidi="zh-TW"/>
              </w:rPr>
              <w:t>指标</w:t>
            </w:r>
          </w:p>
        </w:tc>
      </w:tr>
      <w:tr>
        <w:tblPrEx>
          <w:tblLayout w:type="fixed"/>
          <w:tblCellMar>
            <w:top w:w="0" w:type="dxa"/>
            <w:left w:w="10" w:type="dxa"/>
            <w:bottom w:w="0" w:type="dxa"/>
            <w:right w:w="10" w:type="dxa"/>
          </w:tblCellMar>
        </w:tblPrEx>
        <w:trPr>
          <w:trHeight w:val="363" w:hRule="exact"/>
          <w:jc w:val="center"/>
        </w:trPr>
        <w:tc>
          <w:tcPr>
            <w:tcW w:w="4516"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both"/>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CN" w:bidi="zh-TW"/>
              </w:rPr>
              <w:t>砷</w:t>
            </w:r>
            <w:r>
              <w:rPr>
                <w:rFonts w:hint="eastAsia" w:ascii="宋体" w:hAnsi="宋体" w:eastAsia="宋体" w:cs="宋体"/>
                <w:color w:val="000000"/>
                <w:spacing w:val="0"/>
                <w:w w:val="100"/>
                <w:position w:val="0"/>
                <w:sz w:val="20"/>
                <w:szCs w:val="20"/>
                <w:u w:val="none"/>
                <w:shd w:val="clear" w:color="auto" w:fill="auto"/>
                <w:lang w:val="zh-TW" w:eastAsia="zh-TW" w:bidi="zh-TW"/>
              </w:rPr>
              <w:t>（以</w:t>
            </w:r>
            <w:r>
              <w:rPr>
                <w:rFonts w:hint="eastAsia" w:ascii="宋体" w:hAnsi="宋体" w:eastAsia="宋体" w:cs="宋体"/>
                <w:color w:val="000000"/>
                <w:spacing w:val="0"/>
                <w:w w:val="100"/>
                <w:position w:val="0"/>
                <w:sz w:val="20"/>
                <w:szCs w:val="20"/>
                <w:u w:val="none"/>
                <w:shd w:val="clear" w:color="auto" w:fill="auto"/>
                <w:lang w:val="en-US" w:eastAsia="en-US" w:bidi="zh-TW"/>
              </w:rPr>
              <w:t>As</w:t>
            </w:r>
            <w:r>
              <w:rPr>
                <w:rFonts w:hint="eastAsia" w:ascii="宋体" w:hAnsi="宋体" w:eastAsia="宋体" w:cs="宋体"/>
                <w:color w:val="000000"/>
                <w:spacing w:val="0"/>
                <w:w w:val="100"/>
                <w:position w:val="0"/>
                <w:sz w:val="20"/>
                <w:szCs w:val="20"/>
                <w:u w:val="none"/>
                <w:shd w:val="clear" w:color="auto" w:fill="auto"/>
                <w:lang w:val="zh-TW" w:eastAsia="zh-TW" w:bidi="zh-TW"/>
              </w:rPr>
              <w:t>计），</w:t>
            </w:r>
            <w:r>
              <w:rPr>
                <w:rFonts w:hint="eastAsia" w:ascii="宋体" w:hAnsi="宋体" w:eastAsia="宋体" w:cs="宋体"/>
                <w:color w:val="000000"/>
                <w:spacing w:val="0"/>
                <w:w w:val="100"/>
                <w:position w:val="0"/>
                <w:sz w:val="20"/>
                <w:szCs w:val="20"/>
                <w:u w:val="none"/>
                <w:shd w:val="clear" w:color="auto" w:fill="auto"/>
                <w:lang w:val="zh-TW" w:eastAsia="zh-TW" w:bidi="zh-TW"/>
              </w:rPr>
              <w:tab/>
            </w:r>
            <w:r>
              <w:rPr>
                <w:rFonts w:hint="eastAsia" w:ascii="宋体" w:hAnsi="宋体" w:eastAsia="宋体" w:cs="宋体"/>
                <w:color w:val="000000"/>
                <w:spacing w:val="0"/>
                <w:w w:val="100"/>
                <w:position w:val="0"/>
                <w:sz w:val="20"/>
                <w:szCs w:val="20"/>
                <w:u w:val="none"/>
                <w:shd w:val="clear" w:color="auto" w:fill="auto"/>
                <w:lang w:val="en-US" w:eastAsia="zh-CN" w:bidi="zh-TW"/>
              </w:rPr>
              <w:t>≤</w:t>
            </w:r>
          </w:p>
        </w:tc>
        <w:tc>
          <w:tcPr>
            <w:tcW w:w="4545" w:type="dxa"/>
            <w:tcBorders>
              <w:top w:val="single" w:color="auto" w:sz="4" w:space="0"/>
              <w:left w:val="single" w:color="auto" w:sz="4" w:space="0"/>
              <w:righ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center"/>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en-US" w:eastAsia="en-US" w:bidi="zh-TW"/>
              </w:rPr>
              <w:t>0.</w:t>
            </w:r>
            <w:r>
              <w:rPr>
                <w:rFonts w:hint="eastAsia" w:ascii="宋体" w:hAnsi="宋体" w:eastAsia="宋体" w:cs="宋体"/>
                <w:color w:val="000000"/>
                <w:spacing w:val="0"/>
                <w:w w:val="100"/>
                <w:position w:val="0"/>
                <w:sz w:val="20"/>
                <w:szCs w:val="20"/>
                <w:u w:val="none"/>
                <w:shd w:val="clear" w:color="auto" w:fill="auto"/>
                <w:lang w:val="zh-TW" w:eastAsia="zh-CN" w:bidi="zh-TW"/>
              </w:rPr>
              <w:t>05</w:t>
            </w:r>
          </w:p>
        </w:tc>
      </w:tr>
      <w:tr>
        <w:tblPrEx>
          <w:tblLayout w:type="fixed"/>
          <w:tblCellMar>
            <w:top w:w="0" w:type="dxa"/>
            <w:left w:w="10" w:type="dxa"/>
            <w:bottom w:w="0" w:type="dxa"/>
            <w:right w:w="10" w:type="dxa"/>
          </w:tblCellMar>
        </w:tblPrEx>
        <w:trPr>
          <w:trHeight w:val="357" w:hRule="exact"/>
          <w:jc w:val="center"/>
        </w:trPr>
        <w:tc>
          <w:tcPr>
            <w:tcW w:w="4516"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both"/>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铅（以</w:t>
            </w:r>
            <w:r>
              <w:rPr>
                <w:rFonts w:hint="eastAsia" w:ascii="宋体" w:hAnsi="宋体" w:eastAsia="宋体" w:cs="宋体"/>
                <w:color w:val="000000"/>
                <w:spacing w:val="0"/>
                <w:w w:val="100"/>
                <w:position w:val="0"/>
                <w:sz w:val="20"/>
                <w:szCs w:val="20"/>
                <w:u w:val="none"/>
                <w:shd w:val="clear" w:color="auto" w:fill="auto"/>
                <w:lang w:val="en-US" w:eastAsia="en-US" w:bidi="zh-TW"/>
              </w:rPr>
              <w:t>Pb</w:t>
            </w:r>
            <w:r>
              <w:rPr>
                <w:rFonts w:hint="eastAsia" w:ascii="宋体" w:hAnsi="宋体" w:eastAsia="宋体" w:cs="宋体"/>
                <w:color w:val="000000"/>
                <w:spacing w:val="0"/>
                <w:w w:val="100"/>
                <w:position w:val="0"/>
                <w:sz w:val="20"/>
                <w:szCs w:val="20"/>
                <w:u w:val="none"/>
                <w:shd w:val="clear" w:color="auto" w:fill="auto"/>
                <w:lang w:val="zh-TW" w:eastAsia="zh-TW" w:bidi="zh-TW"/>
              </w:rPr>
              <w:t>计），</w:t>
            </w:r>
            <w:r>
              <w:rPr>
                <w:rFonts w:hint="eastAsia" w:ascii="宋体" w:hAnsi="宋体" w:eastAsia="宋体" w:cs="宋体"/>
                <w:color w:val="000000"/>
                <w:spacing w:val="0"/>
                <w:w w:val="100"/>
                <w:position w:val="0"/>
                <w:sz w:val="20"/>
                <w:szCs w:val="20"/>
                <w:u w:val="none"/>
                <w:shd w:val="clear" w:color="auto" w:fill="auto"/>
                <w:lang w:val="zh-TW" w:eastAsia="zh-TW" w:bidi="zh-TW"/>
              </w:rPr>
              <w:tab/>
            </w:r>
            <w:r>
              <w:rPr>
                <w:rFonts w:hint="eastAsia" w:ascii="宋体" w:hAnsi="宋体" w:eastAsia="宋体" w:cs="宋体"/>
                <w:color w:val="000000"/>
                <w:spacing w:val="0"/>
                <w:w w:val="100"/>
                <w:position w:val="0"/>
                <w:sz w:val="20"/>
                <w:szCs w:val="20"/>
                <w:u w:val="none"/>
                <w:shd w:val="clear" w:color="auto" w:fill="auto"/>
                <w:lang w:val="en-US" w:eastAsia="zh-CN" w:bidi="zh-TW"/>
              </w:rPr>
              <w:t>≤</w:t>
            </w:r>
          </w:p>
        </w:tc>
        <w:tc>
          <w:tcPr>
            <w:tcW w:w="4545" w:type="dxa"/>
            <w:tcBorders>
              <w:top w:val="single" w:color="auto" w:sz="4" w:space="0"/>
              <w:left w:val="single" w:color="auto" w:sz="4" w:space="0"/>
              <w:righ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center"/>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en-US" w:eastAsia="en-US" w:bidi="zh-TW"/>
              </w:rPr>
              <w:t>0.</w:t>
            </w:r>
            <w:r>
              <w:rPr>
                <w:rFonts w:hint="eastAsia" w:ascii="宋体" w:hAnsi="宋体" w:eastAsia="宋体" w:cs="宋体"/>
                <w:color w:val="000000"/>
                <w:spacing w:val="0"/>
                <w:w w:val="100"/>
                <w:position w:val="0"/>
                <w:sz w:val="20"/>
                <w:szCs w:val="20"/>
                <w:u w:val="none"/>
                <w:shd w:val="clear" w:color="auto" w:fill="auto"/>
                <w:lang w:val="zh-TW" w:eastAsia="zh-CN" w:bidi="zh-TW"/>
              </w:rPr>
              <w:t>1</w:t>
            </w:r>
          </w:p>
        </w:tc>
      </w:tr>
      <w:tr>
        <w:tblPrEx>
          <w:tblLayout w:type="fixed"/>
          <w:tblCellMar>
            <w:top w:w="0" w:type="dxa"/>
            <w:left w:w="10" w:type="dxa"/>
            <w:bottom w:w="0" w:type="dxa"/>
            <w:right w:w="10" w:type="dxa"/>
          </w:tblCellMar>
        </w:tblPrEx>
        <w:trPr>
          <w:trHeight w:val="363" w:hRule="exact"/>
          <w:jc w:val="center"/>
        </w:trPr>
        <w:tc>
          <w:tcPr>
            <w:tcW w:w="4516"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both"/>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镉（以</w:t>
            </w:r>
            <w:r>
              <w:rPr>
                <w:rFonts w:hint="eastAsia" w:ascii="宋体" w:hAnsi="宋体" w:eastAsia="宋体" w:cs="宋体"/>
                <w:color w:val="000000"/>
                <w:spacing w:val="0"/>
                <w:w w:val="100"/>
                <w:position w:val="0"/>
                <w:sz w:val="20"/>
                <w:szCs w:val="20"/>
                <w:u w:val="none"/>
                <w:shd w:val="clear" w:color="auto" w:fill="auto"/>
                <w:lang w:val="en-US" w:eastAsia="en-US" w:bidi="zh-TW"/>
              </w:rPr>
              <w:t>Cd</w:t>
            </w:r>
            <w:r>
              <w:rPr>
                <w:rFonts w:hint="eastAsia" w:ascii="宋体" w:hAnsi="宋体" w:eastAsia="宋体" w:cs="宋体"/>
                <w:color w:val="000000"/>
                <w:spacing w:val="0"/>
                <w:w w:val="100"/>
                <w:position w:val="0"/>
                <w:sz w:val="20"/>
                <w:szCs w:val="20"/>
                <w:u w:val="none"/>
                <w:shd w:val="clear" w:color="auto" w:fill="auto"/>
                <w:lang w:val="zh-TW" w:eastAsia="zh-TW" w:bidi="zh-TW"/>
              </w:rPr>
              <w:t>计），</w:t>
            </w:r>
            <w:r>
              <w:rPr>
                <w:rFonts w:hint="eastAsia" w:ascii="宋体" w:hAnsi="宋体" w:eastAsia="宋体" w:cs="宋体"/>
                <w:color w:val="000000"/>
                <w:spacing w:val="0"/>
                <w:w w:val="100"/>
                <w:position w:val="0"/>
                <w:sz w:val="20"/>
                <w:szCs w:val="20"/>
                <w:u w:val="none"/>
                <w:shd w:val="clear" w:color="auto" w:fill="auto"/>
                <w:lang w:val="zh-TW" w:eastAsia="zh-TW" w:bidi="zh-TW"/>
              </w:rPr>
              <w:tab/>
            </w:r>
            <w:r>
              <w:rPr>
                <w:rFonts w:hint="eastAsia" w:ascii="宋体" w:hAnsi="宋体" w:eastAsia="宋体" w:cs="宋体"/>
                <w:color w:val="000000"/>
                <w:spacing w:val="0"/>
                <w:w w:val="100"/>
                <w:position w:val="0"/>
                <w:sz w:val="20"/>
                <w:szCs w:val="20"/>
                <w:u w:val="none"/>
                <w:shd w:val="clear" w:color="auto" w:fill="auto"/>
                <w:lang w:val="en-US" w:eastAsia="zh-CN" w:bidi="zh-TW"/>
              </w:rPr>
              <w:t>≤</w:t>
            </w:r>
          </w:p>
        </w:tc>
        <w:tc>
          <w:tcPr>
            <w:tcW w:w="4545" w:type="dxa"/>
            <w:tcBorders>
              <w:top w:val="single" w:color="auto" w:sz="4" w:space="0"/>
              <w:left w:val="single" w:color="auto" w:sz="4" w:space="0"/>
              <w:righ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center"/>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en-US" w:eastAsia="en-US" w:bidi="zh-TW"/>
              </w:rPr>
              <w:t>0.</w:t>
            </w:r>
            <w:r>
              <w:rPr>
                <w:rFonts w:hint="eastAsia" w:ascii="宋体" w:hAnsi="宋体" w:eastAsia="宋体" w:cs="宋体"/>
                <w:color w:val="000000"/>
                <w:spacing w:val="0"/>
                <w:w w:val="100"/>
                <w:position w:val="0"/>
                <w:sz w:val="20"/>
                <w:szCs w:val="20"/>
                <w:u w:val="none"/>
                <w:shd w:val="clear" w:color="auto" w:fill="auto"/>
                <w:lang w:val="zh-TW" w:eastAsia="zh-CN" w:bidi="zh-TW"/>
              </w:rPr>
              <w:t>05</w:t>
            </w:r>
          </w:p>
        </w:tc>
      </w:tr>
      <w:tr>
        <w:tblPrEx>
          <w:tblLayout w:type="fixed"/>
          <w:tblCellMar>
            <w:top w:w="0" w:type="dxa"/>
            <w:left w:w="10" w:type="dxa"/>
            <w:bottom w:w="0" w:type="dxa"/>
            <w:right w:w="10" w:type="dxa"/>
          </w:tblCellMar>
        </w:tblPrEx>
        <w:trPr>
          <w:trHeight w:val="357" w:hRule="exact"/>
          <w:jc w:val="center"/>
        </w:trPr>
        <w:tc>
          <w:tcPr>
            <w:tcW w:w="4516"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both"/>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汞（以</w:t>
            </w:r>
            <w:r>
              <w:rPr>
                <w:rFonts w:hint="eastAsia" w:ascii="宋体" w:hAnsi="宋体" w:eastAsia="宋体" w:cs="宋体"/>
                <w:color w:val="000000"/>
                <w:spacing w:val="0"/>
                <w:w w:val="100"/>
                <w:position w:val="0"/>
                <w:sz w:val="20"/>
                <w:szCs w:val="20"/>
                <w:u w:val="none"/>
                <w:shd w:val="clear" w:color="auto" w:fill="auto"/>
                <w:lang w:val="en-US" w:eastAsia="en-US" w:bidi="zh-TW"/>
              </w:rPr>
              <w:t>Hg</w:t>
            </w:r>
            <w:r>
              <w:rPr>
                <w:rFonts w:hint="eastAsia" w:ascii="宋体" w:hAnsi="宋体" w:eastAsia="宋体" w:cs="宋体"/>
                <w:color w:val="000000"/>
                <w:spacing w:val="0"/>
                <w:w w:val="100"/>
                <w:position w:val="0"/>
                <w:sz w:val="20"/>
                <w:szCs w:val="20"/>
                <w:u w:val="none"/>
                <w:shd w:val="clear" w:color="auto" w:fill="auto"/>
                <w:lang w:val="zh-TW" w:eastAsia="zh-TW" w:bidi="zh-TW"/>
              </w:rPr>
              <w:t>计），</w:t>
            </w:r>
            <w:r>
              <w:rPr>
                <w:rFonts w:hint="eastAsia" w:ascii="宋体" w:hAnsi="宋体" w:eastAsia="宋体" w:cs="宋体"/>
                <w:color w:val="000000"/>
                <w:spacing w:val="0"/>
                <w:w w:val="100"/>
                <w:position w:val="0"/>
                <w:sz w:val="20"/>
                <w:szCs w:val="20"/>
                <w:u w:val="none"/>
                <w:shd w:val="clear" w:color="auto" w:fill="auto"/>
                <w:lang w:val="zh-TW" w:eastAsia="zh-TW" w:bidi="zh-TW"/>
              </w:rPr>
              <w:tab/>
            </w:r>
            <w:r>
              <w:rPr>
                <w:rFonts w:hint="eastAsia" w:ascii="宋体" w:hAnsi="宋体" w:eastAsia="宋体" w:cs="宋体"/>
                <w:color w:val="000000"/>
                <w:spacing w:val="0"/>
                <w:w w:val="100"/>
                <w:position w:val="0"/>
                <w:sz w:val="20"/>
                <w:szCs w:val="20"/>
                <w:u w:val="none"/>
                <w:shd w:val="clear" w:color="auto" w:fill="auto"/>
                <w:lang w:val="en-US" w:eastAsia="zh-CN" w:bidi="zh-TW"/>
              </w:rPr>
              <w:t>≤</w:t>
            </w:r>
          </w:p>
        </w:tc>
        <w:tc>
          <w:tcPr>
            <w:tcW w:w="4545" w:type="dxa"/>
            <w:tcBorders>
              <w:top w:val="single" w:color="auto" w:sz="4" w:space="0"/>
              <w:left w:val="single" w:color="auto" w:sz="4" w:space="0"/>
              <w:righ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center"/>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en-US" w:eastAsia="en-US" w:bidi="zh-TW"/>
              </w:rPr>
              <w:t>0.01</w:t>
            </w:r>
          </w:p>
        </w:tc>
      </w:tr>
      <w:tr>
        <w:tblPrEx>
          <w:tblLayout w:type="fixed"/>
          <w:tblCellMar>
            <w:top w:w="0" w:type="dxa"/>
            <w:left w:w="10" w:type="dxa"/>
            <w:bottom w:w="0" w:type="dxa"/>
            <w:right w:w="10" w:type="dxa"/>
          </w:tblCellMar>
        </w:tblPrEx>
        <w:trPr>
          <w:trHeight w:val="363" w:hRule="exact"/>
          <w:jc w:val="center"/>
        </w:trPr>
        <w:tc>
          <w:tcPr>
            <w:tcW w:w="4516"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both"/>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敌敌畏</w:t>
            </w:r>
            <w:r>
              <w:rPr>
                <w:rFonts w:hint="eastAsia" w:ascii="宋体" w:hAnsi="宋体" w:eastAsia="宋体" w:cs="宋体"/>
                <w:color w:val="000000"/>
                <w:spacing w:val="0"/>
                <w:w w:val="100"/>
                <w:position w:val="0"/>
                <w:sz w:val="20"/>
                <w:szCs w:val="20"/>
                <w:u w:val="none"/>
                <w:shd w:val="clear" w:color="auto" w:fill="auto"/>
                <w:lang w:val="en-US" w:eastAsia="en-US" w:bidi="zh-TW"/>
              </w:rPr>
              <w:t>(dichlorvos),</w:t>
            </w:r>
            <w:r>
              <w:rPr>
                <w:rFonts w:hint="eastAsia" w:ascii="宋体" w:hAnsi="宋体" w:eastAsia="宋体" w:cs="宋体"/>
                <w:color w:val="000000"/>
                <w:spacing w:val="0"/>
                <w:w w:val="100"/>
                <w:position w:val="0"/>
                <w:sz w:val="20"/>
                <w:szCs w:val="20"/>
                <w:u w:val="none"/>
                <w:shd w:val="clear" w:color="auto" w:fill="auto"/>
                <w:lang w:val="en-US" w:eastAsia="en-US" w:bidi="zh-TW"/>
              </w:rPr>
              <w:tab/>
            </w:r>
            <w:r>
              <w:rPr>
                <w:rFonts w:hint="eastAsia" w:ascii="宋体" w:hAnsi="宋体" w:eastAsia="宋体" w:cs="宋体"/>
                <w:color w:val="000000"/>
                <w:spacing w:val="0"/>
                <w:w w:val="100"/>
                <w:position w:val="0"/>
                <w:sz w:val="20"/>
                <w:szCs w:val="20"/>
                <w:u w:val="none"/>
                <w:shd w:val="clear" w:color="auto" w:fill="auto"/>
                <w:lang w:val="en-US" w:eastAsia="zh-CN" w:bidi="zh-TW"/>
              </w:rPr>
              <w:t>≤</w:t>
            </w:r>
          </w:p>
        </w:tc>
        <w:tc>
          <w:tcPr>
            <w:tcW w:w="4545" w:type="dxa"/>
            <w:tcBorders>
              <w:top w:val="single" w:color="auto" w:sz="4" w:space="0"/>
              <w:left w:val="single" w:color="auto" w:sz="4" w:space="0"/>
              <w:righ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center"/>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en-US" w:eastAsia="en-US" w:bidi="zh-TW"/>
              </w:rPr>
              <w:t>0.2</w:t>
            </w:r>
          </w:p>
        </w:tc>
      </w:tr>
      <w:tr>
        <w:tblPrEx>
          <w:tblLayout w:type="fixed"/>
          <w:tblCellMar>
            <w:top w:w="0" w:type="dxa"/>
            <w:left w:w="10" w:type="dxa"/>
            <w:bottom w:w="0" w:type="dxa"/>
            <w:right w:w="10" w:type="dxa"/>
          </w:tblCellMar>
        </w:tblPrEx>
        <w:trPr>
          <w:trHeight w:val="363" w:hRule="exact"/>
          <w:jc w:val="center"/>
        </w:trPr>
        <w:tc>
          <w:tcPr>
            <w:tcW w:w="4516"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both"/>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乐果</w:t>
            </w:r>
            <w:r>
              <w:rPr>
                <w:rFonts w:hint="eastAsia" w:ascii="宋体" w:hAnsi="宋体" w:eastAsia="宋体" w:cs="宋体"/>
                <w:color w:val="000000"/>
                <w:spacing w:val="0"/>
                <w:w w:val="100"/>
                <w:position w:val="0"/>
                <w:sz w:val="20"/>
                <w:szCs w:val="20"/>
                <w:u w:val="none"/>
                <w:shd w:val="clear" w:color="auto" w:fill="auto"/>
                <w:lang w:val="en-US" w:eastAsia="en-US" w:bidi="zh-TW"/>
              </w:rPr>
              <w:t>(dimethboate),</w:t>
            </w:r>
            <w:r>
              <w:rPr>
                <w:rFonts w:hint="eastAsia" w:ascii="宋体" w:hAnsi="宋体" w:eastAsia="宋体" w:cs="宋体"/>
                <w:color w:val="000000"/>
                <w:spacing w:val="0"/>
                <w:w w:val="100"/>
                <w:position w:val="0"/>
                <w:sz w:val="20"/>
                <w:szCs w:val="20"/>
                <w:u w:val="none"/>
                <w:shd w:val="clear" w:color="auto" w:fill="auto"/>
                <w:lang w:val="en-US" w:eastAsia="en-US" w:bidi="zh-TW"/>
              </w:rPr>
              <w:tab/>
            </w:r>
            <w:r>
              <w:rPr>
                <w:rFonts w:hint="eastAsia" w:ascii="宋体" w:hAnsi="宋体" w:eastAsia="宋体" w:cs="宋体"/>
                <w:color w:val="000000"/>
                <w:spacing w:val="0"/>
                <w:w w:val="100"/>
                <w:position w:val="0"/>
                <w:sz w:val="20"/>
                <w:szCs w:val="20"/>
                <w:u w:val="none"/>
                <w:shd w:val="clear" w:color="auto" w:fill="auto"/>
                <w:lang w:val="en-US" w:eastAsia="zh-CN" w:bidi="zh-TW"/>
              </w:rPr>
              <w:t>≤</w:t>
            </w:r>
          </w:p>
        </w:tc>
        <w:tc>
          <w:tcPr>
            <w:tcW w:w="4545" w:type="dxa"/>
            <w:tcBorders>
              <w:top w:val="single" w:color="auto" w:sz="4" w:space="0"/>
              <w:left w:val="single" w:color="auto" w:sz="4" w:space="0"/>
              <w:righ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center"/>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en-US" w:eastAsia="en-US" w:bidi="zh-TW"/>
              </w:rPr>
              <w:t>2.0</w:t>
            </w:r>
          </w:p>
        </w:tc>
      </w:tr>
      <w:tr>
        <w:tblPrEx>
          <w:tblLayout w:type="fixed"/>
          <w:tblCellMar>
            <w:top w:w="0" w:type="dxa"/>
            <w:left w:w="10" w:type="dxa"/>
            <w:bottom w:w="0" w:type="dxa"/>
            <w:right w:w="10" w:type="dxa"/>
          </w:tblCellMar>
        </w:tblPrEx>
        <w:trPr>
          <w:trHeight w:val="363" w:hRule="exact"/>
          <w:jc w:val="center"/>
        </w:trPr>
        <w:tc>
          <w:tcPr>
            <w:tcW w:w="4516" w:type="dxa"/>
            <w:tcBorders>
              <w:top w:val="single" w:color="auto" w:sz="4" w:space="0"/>
              <w:lef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both"/>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多菌灵</w:t>
            </w:r>
            <w:r>
              <w:rPr>
                <w:rFonts w:hint="eastAsia" w:ascii="宋体" w:hAnsi="宋体" w:eastAsia="宋体" w:cs="宋体"/>
                <w:color w:val="000000"/>
                <w:spacing w:val="0"/>
                <w:w w:val="100"/>
                <w:position w:val="0"/>
                <w:sz w:val="20"/>
                <w:szCs w:val="20"/>
                <w:u w:val="none"/>
                <w:shd w:val="clear" w:color="auto" w:fill="auto"/>
                <w:lang w:val="en-US" w:eastAsia="en-US" w:bidi="zh-TW"/>
              </w:rPr>
              <w:t>(carbendazim),</w:t>
            </w:r>
            <w:r>
              <w:rPr>
                <w:rFonts w:hint="eastAsia" w:ascii="宋体" w:hAnsi="宋体" w:eastAsia="宋体" w:cs="宋体"/>
                <w:color w:val="000000"/>
                <w:spacing w:val="0"/>
                <w:w w:val="100"/>
                <w:position w:val="0"/>
                <w:sz w:val="20"/>
                <w:szCs w:val="20"/>
                <w:u w:val="none"/>
                <w:shd w:val="clear" w:color="auto" w:fill="auto"/>
                <w:lang w:val="en-US" w:eastAsia="en-US" w:bidi="zh-TW"/>
              </w:rPr>
              <w:tab/>
            </w:r>
            <w:r>
              <w:rPr>
                <w:rFonts w:hint="eastAsia" w:ascii="宋体" w:hAnsi="宋体" w:eastAsia="宋体" w:cs="宋体"/>
                <w:color w:val="000000"/>
                <w:spacing w:val="0"/>
                <w:w w:val="100"/>
                <w:position w:val="0"/>
                <w:sz w:val="20"/>
                <w:szCs w:val="20"/>
                <w:u w:val="none"/>
                <w:shd w:val="clear" w:color="auto" w:fill="auto"/>
                <w:lang w:val="en-US" w:eastAsia="zh-CN" w:bidi="zh-TW"/>
              </w:rPr>
              <w:t>≤</w:t>
            </w:r>
          </w:p>
        </w:tc>
        <w:tc>
          <w:tcPr>
            <w:tcW w:w="4545" w:type="dxa"/>
            <w:tcBorders>
              <w:top w:val="single" w:color="auto" w:sz="4" w:space="0"/>
              <w:left w:val="single" w:color="auto" w:sz="4" w:space="0"/>
              <w:right w:val="single" w:color="auto" w:sz="4" w:space="0"/>
            </w:tcBorders>
            <w:shd w:val="clear" w:color="auto" w:fill="auto"/>
            <w:vAlign w:val="center"/>
          </w:tcPr>
          <w:p>
            <w:pPr>
              <w:pStyle w:val="133"/>
              <w:keepNext w:val="0"/>
              <w:keepLines w:val="0"/>
              <w:widowControl w:val="0"/>
              <w:shd w:val="clear" w:color="auto" w:fill="auto"/>
              <w:tabs>
                <w:tab w:val="left" w:pos="4011"/>
              </w:tabs>
              <w:bidi w:val="0"/>
              <w:spacing w:before="0" w:after="0" w:line="240" w:lineRule="auto"/>
              <w:ind w:left="0" w:right="0" w:firstLine="140"/>
              <w:jc w:val="center"/>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en-US" w:eastAsia="en-US" w:bidi="zh-TW"/>
              </w:rPr>
              <w:t>0.5</w:t>
            </w:r>
          </w:p>
        </w:tc>
      </w:tr>
      <w:tr>
        <w:tblPrEx>
          <w:tblLayout w:type="fixed"/>
          <w:tblCellMar>
            <w:top w:w="0" w:type="dxa"/>
            <w:left w:w="10" w:type="dxa"/>
            <w:bottom w:w="0" w:type="dxa"/>
            <w:right w:w="10" w:type="dxa"/>
          </w:tblCellMar>
        </w:tblPrEx>
        <w:trPr>
          <w:trHeight w:val="357" w:hRule="exact"/>
          <w:jc w:val="center"/>
        </w:trPr>
        <w:tc>
          <w:tcPr>
            <w:tcW w:w="4516" w:type="dxa"/>
            <w:tcBorders>
              <w:top w:val="single" w:color="auto" w:sz="4" w:space="0"/>
              <w:left w:val="single" w:color="auto" w:sz="4" w:space="0"/>
            </w:tcBorders>
            <w:shd w:val="clear" w:color="auto" w:fill="auto"/>
            <w:vAlign w:val="bottom"/>
          </w:tcPr>
          <w:p>
            <w:pPr>
              <w:pStyle w:val="133"/>
              <w:keepNext w:val="0"/>
              <w:keepLines w:val="0"/>
              <w:widowControl w:val="0"/>
              <w:shd w:val="clear" w:color="auto" w:fill="auto"/>
              <w:tabs>
                <w:tab w:val="left" w:pos="4011"/>
              </w:tabs>
              <w:bidi w:val="0"/>
              <w:spacing w:before="0" w:after="0" w:line="240" w:lineRule="auto"/>
              <w:ind w:left="0" w:right="0" w:firstLine="140"/>
              <w:jc w:val="both"/>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en-US" w:eastAsia="zh-CN" w:bidi="zh-TW"/>
              </w:rPr>
              <w:t>溴氰</w:t>
            </w:r>
            <w:r>
              <w:rPr>
                <w:rFonts w:hint="eastAsia" w:ascii="宋体" w:hAnsi="宋体" w:eastAsia="宋体" w:cs="宋体"/>
                <w:color w:val="000000"/>
                <w:spacing w:val="0"/>
                <w:w w:val="100"/>
                <w:position w:val="0"/>
                <w:sz w:val="20"/>
                <w:szCs w:val="20"/>
                <w:u w:val="none"/>
                <w:shd w:val="clear" w:color="auto" w:fill="auto"/>
                <w:lang w:val="zh-TW" w:eastAsia="zh-TW" w:bidi="zh-TW"/>
              </w:rPr>
              <w:t>菊酯</w:t>
            </w:r>
            <w:r>
              <w:rPr>
                <w:rFonts w:hint="eastAsia" w:ascii="宋体" w:hAnsi="宋体" w:eastAsia="宋体" w:cs="宋体"/>
                <w:color w:val="000000"/>
                <w:spacing w:val="0"/>
                <w:w w:val="100"/>
                <w:position w:val="0"/>
                <w:sz w:val="20"/>
                <w:szCs w:val="20"/>
                <w:u w:val="none"/>
                <w:shd w:val="clear" w:color="auto" w:fill="auto"/>
                <w:lang w:val="en-US" w:eastAsia="en-US" w:bidi="zh-TW"/>
              </w:rPr>
              <w:t>(deltamerthrin),</w:t>
            </w:r>
            <w:r>
              <w:rPr>
                <w:rFonts w:hint="eastAsia" w:ascii="宋体" w:hAnsi="宋体" w:eastAsia="宋体" w:cs="宋体"/>
                <w:color w:val="000000"/>
                <w:spacing w:val="0"/>
                <w:w w:val="100"/>
                <w:position w:val="0"/>
                <w:sz w:val="20"/>
                <w:szCs w:val="20"/>
                <w:u w:val="none"/>
                <w:shd w:val="clear" w:color="auto" w:fill="auto"/>
                <w:lang w:val="en-US" w:eastAsia="en-US" w:bidi="zh-TW"/>
              </w:rPr>
              <w:tab/>
            </w:r>
            <w:r>
              <w:rPr>
                <w:rFonts w:hint="eastAsia" w:ascii="宋体" w:hAnsi="宋体" w:eastAsia="宋体" w:cs="宋体"/>
                <w:color w:val="000000"/>
                <w:spacing w:val="0"/>
                <w:w w:val="100"/>
                <w:position w:val="0"/>
                <w:sz w:val="20"/>
                <w:szCs w:val="20"/>
                <w:u w:val="none"/>
                <w:shd w:val="clear" w:color="auto" w:fill="auto"/>
                <w:lang w:val="en-US" w:eastAsia="zh-CN" w:bidi="zh-TW"/>
              </w:rPr>
              <w:t>≤</w:t>
            </w:r>
          </w:p>
        </w:tc>
        <w:tc>
          <w:tcPr>
            <w:tcW w:w="4545" w:type="dxa"/>
            <w:tcBorders>
              <w:top w:val="single" w:color="auto" w:sz="4" w:space="0"/>
              <w:left w:val="single" w:color="auto" w:sz="4" w:space="0"/>
              <w:right w:val="single" w:color="auto" w:sz="4" w:space="0"/>
            </w:tcBorders>
            <w:shd w:val="clear" w:color="auto" w:fill="auto"/>
            <w:vAlign w:val="bottom"/>
          </w:tcPr>
          <w:p>
            <w:pPr>
              <w:pStyle w:val="133"/>
              <w:keepNext w:val="0"/>
              <w:keepLines w:val="0"/>
              <w:widowControl w:val="0"/>
              <w:shd w:val="clear" w:color="auto" w:fill="auto"/>
              <w:tabs>
                <w:tab w:val="left" w:pos="4011"/>
              </w:tabs>
              <w:bidi w:val="0"/>
              <w:spacing w:before="0" w:after="0" w:line="240" w:lineRule="auto"/>
              <w:ind w:left="0" w:right="0" w:firstLine="140"/>
              <w:jc w:val="center"/>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en-US" w:eastAsia="en-US" w:bidi="zh-TW"/>
              </w:rPr>
              <w:t>0.</w:t>
            </w:r>
            <w:r>
              <w:rPr>
                <w:rFonts w:hint="eastAsia" w:ascii="宋体" w:hAnsi="宋体" w:eastAsia="宋体" w:cs="宋体"/>
                <w:color w:val="000000"/>
                <w:spacing w:val="0"/>
                <w:w w:val="100"/>
                <w:position w:val="0"/>
                <w:sz w:val="20"/>
                <w:szCs w:val="20"/>
                <w:u w:val="none"/>
                <w:shd w:val="clear" w:color="auto" w:fill="auto"/>
                <w:lang w:val="zh-TW" w:eastAsia="zh-CN" w:bidi="zh-TW"/>
              </w:rPr>
              <w:t>05</w:t>
            </w:r>
          </w:p>
        </w:tc>
      </w:tr>
      <w:tr>
        <w:tblPrEx>
          <w:tblLayout w:type="fixed"/>
          <w:tblCellMar>
            <w:top w:w="0" w:type="dxa"/>
            <w:left w:w="10" w:type="dxa"/>
            <w:bottom w:w="0" w:type="dxa"/>
            <w:right w:w="10" w:type="dxa"/>
          </w:tblCellMar>
        </w:tblPrEx>
        <w:trPr>
          <w:trHeight w:val="317" w:hRule="exact"/>
          <w:jc w:val="center"/>
        </w:trPr>
        <w:tc>
          <w:tcPr>
            <w:tcW w:w="9061" w:type="dxa"/>
            <w:gridSpan w:val="2"/>
            <w:tcBorders>
              <w:top w:val="single" w:color="auto" w:sz="4" w:space="0"/>
            </w:tcBorders>
            <w:shd w:val="clear" w:color="auto" w:fill="auto"/>
            <w:vAlign w:val="bottom"/>
          </w:tcPr>
          <w:p>
            <w:pPr>
              <w:pStyle w:val="133"/>
              <w:keepNext w:val="0"/>
              <w:keepLines w:val="0"/>
              <w:widowControl w:val="0"/>
              <w:shd w:val="clear" w:color="auto" w:fill="auto"/>
              <w:bidi w:val="0"/>
              <w:spacing w:before="0" w:after="0" w:line="240" w:lineRule="auto"/>
              <w:ind w:left="0" w:right="0" w:firstLine="300"/>
              <w:jc w:val="left"/>
            </w:pPr>
            <w:r>
              <w:rPr>
                <w:rFonts w:hint="eastAsia" w:ascii="宋体" w:hAnsi="宋体" w:eastAsia="宋体" w:cs="宋体"/>
                <w:color w:val="000000"/>
                <w:spacing w:val="0"/>
                <w:w w:val="100"/>
                <w:position w:val="0"/>
                <w:sz w:val="20"/>
                <w:szCs w:val="20"/>
                <w:u w:val="none"/>
                <w:shd w:val="clear" w:color="auto" w:fill="auto"/>
                <w:lang w:val="en-US" w:eastAsia="zh-CN" w:bidi="zh-TW"/>
              </w:rPr>
              <w:t>其余卫生指标按国家现行的标准规定执行。</w:t>
            </w:r>
          </w:p>
        </w:tc>
      </w:tr>
    </w:tbl>
    <w:p>
      <w:pPr>
        <w:pStyle w:val="36"/>
        <w:rPr>
          <w:rFonts w:hint="eastAsia"/>
        </w:rPr>
      </w:pPr>
      <w:r>
        <w:rPr>
          <w:rFonts w:hint="eastAsia"/>
          <w:lang w:eastAsia="zh-CN"/>
        </w:rPr>
        <w:t>容许度</w:t>
      </w:r>
    </w:p>
    <w:p>
      <w:pPr>
        <w:pStyle w:val="37"/>
        <w:spacing w:before="156" w:after="156"/>
        <w:ind w:left="0"/>
        <w:rPr>
          <w:rFonts w:hint="eastAsia"/>
        </w:rPr>
      </w:pPr>
      <w:r>
        <w:rPr>
          <w:rFonts w:hint="eastAsia"/>
        </w:rPr>
        <w:t>重量差异</w:t>
      </w:r>
    </w:p>
    <w:p>
      <w:pPr>
        <w:pStyle w:val="20"/>
        <w:ind w:left="0" w:leftChars="0" w:firstLine="420" w:firstLineChars="200"/>
        <w:rPr>
          <w:rFonts w:hint="eastAsia"/>
        </w:rPr>
      </w:pPr>
      <w:r>
        <w:rPr>
          <w:rFonts w:hint="eastAsia"/>
        </w:rPr>
        <w:t>产地站台交接，每件净重误差不大于标示重量的1%。</w:t>
      </w:r>
    </w:p>
    <w:p>
      <w:pPr>
        <w:pStyle w:val="37"/>
        <w:spacing w:before="156" w:after="156"/>
        <w:ind w:left="0"/>
        <w:rPr>
          <w:rFonts w:hint="eastAsia"/>
        </w:rPr>
      </w:pPr>
      <w:r>
        <w:rPr>
          <w:rFonts w:hint="eastAsia"/>
        </w:rPr>
        <w:t>大小差异</w:t>
      </w:r>
    </w:p>
    <w:p>
      <w:pPr>
        <w:pStyle w:val="20"/>
        <w:ind w:left="0" w:leftChars="0" w:firstLine="420" w:firstLineChars="200"/>
        <w:rPr>
          <w:rFonts w:hint="eastAsia" w:ascii="黑体" w:hAnsi="宋体" w:eastAsia="黑体" w:cs="宋体"/>
          <w:kern w:val="0"/>
          <w:szCs w:val="21"/>
        </w:rPr>
      </w:pPr>
      <w:r>
        <w:rPr>
          <w:rFonts w:hint="eastAsia"/>
        </w:rPr>
        <w:t>邻级果以个数计算，一级果不得超过35%，二级果不得超过5%，三级果不得超过8%。</w:t>
      </w:r>
    </w:p>
    <w:p>
      <w:pPr>
        <w:pStyle w:val="38"/>
        <w:rPr>
          <w:rFonts w:hint="eastAsia"/>
        </w:rPr>
      </w:pPr>
      <w:bookmarkStart w:id="53" w:name="_Toc492975149"/>
      <w:bookmarkStart w:id="54" w:name="_Toc492975172"/>
      <w:bookmarkStart w:id="55" w:name="_Toc493060423"/>
      <w:r>
        <w:rPr>
          <w:rFonts w:hint="eastAsia"/>
        </w:rPr>
        <w:t>试验方法</w:t>
      </w:r>
      <w:bookmarkEnd w:id="53"/>
      <w:bookmarkEnd w:id="54"/>
      <w:bookmarkEnd w:id="55"/>
    </w:p>
    <w:p>
      <w:pPr>
        <w:pStyle w:val="36"/>
        <w:rPr>
          <w:rFonts w:hint="eastAsia"/>
        </w:rPr>
      </w:pPr>
      <w:bookmarkStart w:id="56" w:name="_Toc492975150"/>
      <w:r>
        <w:rPr>
          <w:rFonts w:hint="eastAsia"/>
        </w:rPr>
        <w:t>感官指标检测</w:t>
      </w:r>
      <w:bookmarkEnd w:id="56"/>
    </w:p>
    <w:p>
      <w:pPr>
        <w:pStyle w:val="37"/>
        <w:spacing w:before="156" w:after="156"/>
        <w:ind w:left="0"/>
        <w:rPr>
          <w:rFonts w:hint="eastAsia"/>
        </w:rPr>
      </w:pPr>
      <w:r>
        <w:rPr>
          <w:rFonts w:hint="eastAsia"/>
        </w:rPr>
        <w:t>果形、果蒂、色泽、果面的测定</w:t>
      </w:r>
    </w:p>
    <w:p>
      <w:pPr>
        <w:pStyle w:val="20"/>
        <w:rPr>
          <w:rFonts w:hint="eastAsia"/>
        </w:rPr>
      </w:pPr>
      <w:r>
        <w:rPr>
          <w:rFonts w:hint="eastAsia"/>
        </w:rPr>
        <w:t>按GB/T 8210</w:t>
      </w:r>
      <w:r>
        <w:rPr>
          <w:rFonts w:hint="eastAsia"/>
          <w:lang w:val="en-US" w:eastAsia="zh-CN"/>
        </w:rPr>
        <w:t xml:space="preserve"> </w:t>
      </w:r>
      <w:r>
        <w:rPr>
          <w:rFonts w:hint="eastAsia"/>
        </w:rPr>
        <w:t>规定执行。</w:t>
      </w:r>
    </w:p>
    <w:p>
      <w:pPr>
        <w:pStyle w:val="37"/>
        <w:spacing w:before="156" w:after="156"/>
        <w:ind w:left="0"/>
        <w:rPr>
          <w:rFonts w:hint="eastAsia"/>
        </w:rPr>
      </w:pPr>
      <w:r>
        <w:rPr>
          <w:rFonts w:hint="eastAsia"/>
        </w:rPr>
        <w:t>果实横径的测定</w:t>
      </w:r>
    </w:p>
    <w:p>
      <w:pPr>
        <w:pStyle w:val="20"/>
        <w:rPr>
          <w:rFonts w:hint="eastAsia"/>
        </w:rPr>
      </w:pPr>
      <w:r>
        <w:rPr>
          <w:rFonts w:hint="eastAsia"/>
        </w:rPr>
        <w:t>果实横径用分级板或分级圈手工检测，也可用机械横径检测；果重用称重法检测。</w:t>
      </w:r>
    </w:p>
    <w:p>
      <w:pPr>
        <w:pStyle w:val="36"/>
        <w:rPr>
          <w:rFonts w:hint="eastAsia"/>
        </w:rPr>
      </w:pPr>
      <w:bookmarkStart w:id="57" w:name="_Toc492975151"/>
      <w:r>
        <w:rPr>
          <w:rFonts w:hint="eastAsia"/>
          <w:lang w:eastAsia="zh-CN"/>
        </w:rPr>
        <w:t>果实</w:t>
      </w:r>
      <w:r>
        <w:rPr>
          <w:rFonts w:hint="eastAsia"/>
        </w:rPr>
        <w:t>理化指标</w:t>
      </w:r>
      <w:bookmarkEnd w:id="57"/>
      <w:r>
        <w:rPr>
          <w:rFonts w:hint="eastAsia"/>
          <w:lang w:eastAsia="zh-CN"/>
        </w:rPr>
        <w:t>检测</w:t>
      </w:r>
    </w:p>
    <w:p>
      <w:pPr>
        <w:pStyle w:val="37"/>
        <w:spacing w:before="156" w:after="156"/>
        <w:ind w:left="0"/>
        <w:rPr>
          <w:rFonts w:hint="eastAsia"/>
        </w:rPr>
      </w:pPr>
      <w:r>
        <w:rPr>
          <w:rFonts w:hint="eastAsia"/>
        </w:rPr>
        <w:t>可溶性固形物的测定</w:t>
      </w:r>
    </w:p>
    <w:p>
      <w:pPr>
        <w:pStyle w:val="20"/>
        <w:rPr>
          <w:rFonts w:hint="eastAsia"/>
        </w:rPr>
      </w:pPr>
      <w:r>
        <w:rPr>
          <w:rFonts w:hint="eastAsia"/>
        </w:rPr>
        <w:t>按GB/T 8210</w:t>
      </w:r>
      <w:r>
        <w:rPr>
          <w:rFonts w:hint="eastAsia"/>
          <w:lang w:val="en-US" w:eastAsia="zh-CN"/>
        </w:rPr>
        <w:t xml:space="preserve"> </w:t>
      </w:r>
      <w:r>
        <w:rPr>
          <w:rFonts w:hint="eastAsia"/>
        </w:rPr>
        <w:t>规定执行。</w:t>
      </w:r>
    </w:p>
    <w:p>
      <w:pPr>
        <w:pStyle w:val="37"/>
        <w:spacing w:before="156" w:after="156"/>
        <w:ind w:left="0"/>
        <w:rPr>
          <w:rFonts w:hint="eastAsia"/>
        </w:rPr>
      </w:pPr>
      <w:r>
        <w:rPr>
          <w:rFonts w:hint="eastAsia"/>
        </w:rPr>
        <w:t>总酸量的测定</w:t>
      </w:r>
    </w:p>
    <w:p>
      <w:pPr>
        <w:pStyle w:val="20"/>
        <w:rPr>
          <w:rFonts w:hint="eastAsia"/>
        </w:rPr>
      </w:pPr>
      <w:r>
        <w:rPr>
          <w:rFonts w:hint="eastAsia"/>
        </w:rPr>
        <w:t>按GB/T 8210</w:t>
      </w:r>
      <w:r>
        <w:rPr>
          <w:rFonts w:hint="eastAsia"/>
          <w:lang w:val="en-US" w:eastAsia="zh-CN"/>
        </w:rPr>
        <w:t xml:space="preserve"> </w:t>
      </w:r>
      <w:r>
        <w:rPr>
          <w:rFonts w:hint="eastAsia"/>
        </w:rPr>
        <w:t>规定执行。</w:t>
      </w:r>
    </w:p>
    <w:p>
      <w:pPr>
        <w:pStyle w:val="37"/>
        <w:spacing w:before="156" w:after="156"/>
        <w:ind w:left="0"/>
        <w:rPr>
          <w:rFonts w:hint="eastAsia"/>
        </w:rPr>
      </w:pPr>
      <w:r>
        <w:rPr>
          <w:rFonts w:hint="eastAsia"/>
        </w:rPr>
        <w:t>固酸比的测定</w:t>
      </w:r>
    </w:p>
    <w:p>
      <w:pPr>
        <w:pStyle w:val="20"/>
        <w:rPr>
          <w:rFonts w:hint="eastAsia"/>
        </w:rPr>
      </w:pPr>
      <w:r>
        <w:rPr>
          <w:rFonts w:hint="eastAsia"/>
        </w:rPr>
        <w:t>按公式(1)计算：</w:t>
      </w:r>
    </w:p>
    <w:p>
      <w:pPr>
        <w:pStyle w:val="136"/>
        <w:keepNext w:val="0"/>
        <w:keepLines w:val="0"/>
        <w:widowControl w:val="0"/>
        <w:shd w:val="clear" w:color="auto" w:fill="auto"/>
        <w:bidi w:val="0"/>
        <w:spacing w:before="0" w:line="240" w:lineRule="auto"/>
        <w:ind w:left="0" w:right="0" w:firstLine="2000" w:firstLineChars="1000"/>
        <w:jc w:val="left"/>
        <w:rPr>
          <w:rFonts w:hint="eastAsia" w:eastAsia="宋体"/>
          <w:color w:val="000000"/>
          <w:spacing w:val="0"/>
          <w:w w:val="100"/>
          <w:position w:val="0"/>
          <w:lang w:val="en-US" w:eastAsia="zh-CN"/>
        </w:rPr>
      </w:pPr>
      <w:r>
        <w:rPr>
          <w:color w:val="000000"/>
          <w:spacing w:val="0"/>
          <w:w w:val="100"/>
          <w:position w:val="-24"/>
        </w:rPr>
        <w:object>
          <v:shape id="_x0000_i1025" o:spt="75" type="#_x0000_t75" style="height:31pt;width:36pt;" o:ole="t" filled="f" o:preferrelative="t" stroked="f" coordsize="21600,21600">
            <v:path/>
            <v:fill on="f" focussize="0,0"/>
            <v:stroke on="f"/>
            <v:imagedata r:id="rId7" o:title=""/>
            <o:lock v:ext="edit" aspectratio="t"/>
            <w10:wrap type="none"/>
            <w10:anchorlock/>
          </v:shape>
          <o:OLEObject Type="Embed" ProgID="Equation.KSEE3" ShapeID="_x0000_i1025" DrawAspect="Content" ObjectID="_1468075725" r:id="rId6">
            <o:LockedField>false</o:LockedField>
          </o:OLEObject>
        </w:object>
      </w:r>
      <w:r>
        <w:rPr>
          <w:rFonts w:hint="eastAsia"/>
          <w:color w:val="000000"/>
          <w:spacing w:val="0"/>
          <w:w w:val="100"/>
          <w:position w:val="0"/>
          <w:lang w:val="en-US" w:eastAsia="zh-CN"/>
        </w:rPr>
        <w:t>..................................（1）</w:t>
      </w:r>
    </w:p>
    <w:p>
      <w:pPr>
        <w:pStyle w:val="136"/>
        <w:keepNext w:val="0"/>
        <w:keepLines w:val="0"/>
        <w:widowControl w:val="0"/>
        <w:shd w:val="clear" w:color="auto" w:fill="auto"/>
        <w:bidi w:val="0"/>
        <w:spacing w:before="0" w:line="372" w:lineRule="exact"/>
        <w:ind w:left="0" w:right="0" w:firstLine="420"/>
        <w:jc w:val="left"/>
        <w:rPr>
          <w:rFonts w:hint="eastAsia" w:ascii="宋体" w:hAnsi="Times New Roman" w:eastAsia="宋体" w:cs="Times New Roman"/>
          <w:sz w:val="21"/>
          <w:szCs w:val="22"/>
          <w:u w:val="none"/>
          <w:shd w:val="clear"/>
          <w:lang w:val="en-US" w:eastAsia="zh-CN" w:bidi="ar-SA"/>
        </w:rPr>
      </w:pPr>
      <w:r>
        <w:rPr>
          <w:rFonts w:hint="eastAsia" w:ascii="宋体" w:hAnsi="Times New Roman" w:eastAsia="宋体" w:cs="Times New Roman"/>
          <w:sz w:val="21"/>
          <w:szCs w:val="22"/>
          <w:u w:val="none"/>
          <w:shd w:val="clear"/>
          <w:lang w:val="en-US" w:eastAsia="zh-CN" w:bidi="ar-SA"/>
        </w:rPr>
        <w:t>式中：</w:t>
      </w:r>
    </w:p>
    <w:p>
      <w:pPr>
        <w:pStyle w:val="136"/>
        <w:keepNext w:val="0"/>
        <w:keepLines w:val="0"/>
        <w:widowControl w:val="0"/>
        <w:shd w:val="clear" w:color="auto" w:fill="auto"/>
        <w:bidi w:val="0"/>
        <w:spacing w:before="0" w:after="0" w:line="240" w:lineRule="auto"/>
        <w:ind w:left="0" w:right="0" w:firstLine="420"/>
        <w:jc w:val="left"/>
        <w:rPr>
          <w:rFonts w:hint="eastAsia" w:ascii="宋体" w:hAnsi="Times New Roman" w:eastAsia="宋体" w:cs="Times New Roman"/>
          <w:sz w:val="21"/>
          <w:szCs w:val="22"/>
          <w:u w:val="none"/>
          <w:shd w:val="clear"/>
          <w:lang w:val="en-US" w:eastAsia="zh-CN" w:bidi="ar-SA"/>
        </w:rPr>
      </w:pPr>
      <w:r>
        <w:rPr>
          <w:rFonts w:hint="eastAsia" w:hAnsi="Times New Roman" w:cs="Times New Roman"/>
          <w:sz w:val="21"/>
          <w:szCs w:val="22"/>
          <w:u w:val="none"/>
          <w:shd w:val="clear"/>
          <w:lang w:val="en-US" w:eastAsia="zh-CN" w:bidi="ar-SA"/>
        </w:rPr>
        <w:t>X</w:t>
      </w:r>
      <w:r>
        <w:rPr>
          <w:rFonts w:hint="eastAsia" w:ascii="宋体" w:hAnsi="Times New Roman" w:eastAsia="宋体" w:cs="Times New Roman"/>
          <w:sz w:val="21"/>
          <w:szCs w:val="22"/>
          <w:u w:val="none"/>
          <w:shd w:val="clear"/>
          <w:lang w:val="en-US" w:eastAsia="en-US" w:bidi="ar-SA"/>
        </w:rPr>
        <w:t>——</w:t>
      </w:r>
      <w:r>
        <w:rPr>
          <w:rFonts w:hint="eastAsia" w:ascii="宋体" w:hAnsi="Times New Roman" w:eastAsia="宋体" w:cs="Times New Roman"/>
          <w:sz w:val="21"/>
          <w:szCs w:val="22"/>
          <w:u w:val="none"/>
          <w:shd w:val="clear"/>
          <w:lang w:val="en-US" w:eastAsia="zh-CN" w:bidi="ar-SA"/>
        </w:rPr>
        <w:t>固酸比(计算结果值保留小数点后一位)；</w:t>
      </w:r>
    </w:p>
    <w:p>
      <w:pPr>
        <w:pStyle w:val="136"/>
        <w:keepNext w:val="0"/>
        <w:keepLines w:val="0"/>
        <w:widowControl w:val="0"/>
        <w:shd w:val="clear" w:color="auto" w:fill="auto"/>
        <w:bidi w:val="0"/>
        <w:spacing w:before="0" w:after="0" w:line="372" w:lineRule="exact"/>
        <w:ind w:left="0" w:right="0" w:firstLine="420"/>
        <w:jc w:val="left"/>
        <w:rPr>
          <w:rFonts w:hint="eastAsia" w:ascii="宋体" w:hAnsi="Times New Roman" w:eastAsia="宋体" w:cs="Times New Roman"/>
          <w:sz w:val="21"/>
          <w:szCs w:val="22"/>
          <w:u w:val="none"/>
          <w:shd w:val="clear"/>
          <w:lang w:val="en-US" w:eastAsia="zh-CN" w:bidi="ar-SA"/>
        </w:rPr>
      </w:pPr>
      <w:r>
        <w:rPr>
          <w:rFonts w:hint="eastAsia" w:ascii="宋体" w:hAnsi="Times New Roman" w:eastAsia="宋体" w:cs="Times New Roman"/>
          <w:sz w:val="21"/>
          <w:szCs w:val="22"/>
          <w:u w:val="none"/>
          <w:shd w:val="clear"/>
          <w:lang w:val="en-US" w:eastAsia="en-US" w:bidi="ar-SA"/>
        </w:rPr>
        <w:t>S</w:t>
      </w:r>
      <w:r>
        <w:rPr>
          <w:rFonts w:hint="eastAsia" w:ascii="宋体" w:hAnsi="Times New Roman" w:eastAsia="宋体" w:cs="Times New Roman"/>
          <w:sz w:val="21"/>
          <w:szCs w:val="22"/>
          <w:u w:val="none"/>
          <w:shd w:val="clear"/>
          <w:lang w:val="en-US" w:eastAsia="zh-CN" w:bidi="ar-SA"/>
        </w:rPr>
        <w:t>——可溶性固形物含量，单位为百分率(%)；</w:t>
      </w:r>
    </w:p>
    <w:p>
      <w:pPr>
        <w:pStyle w:val="136"/>
        <w:keepNext w:val="0"/>
        <w:keepLines w:val="0"/>
        <w:widowControl w:val="0"/>
        <w:shd w:val="clear" w:color="auto" w:fill="auto"/>
        <w:bidi w:val="0"/>
        <w:spacing w:before="0" w:line="372" w:lineRule="exact"/>
        <w:ind w:left="0" w:right="0" w:firstLine="420"/>
        <w:jc w:val="left"/>
        <w:rPr>
          <w:rFonts w:hint="eastAsia" w:ascii="宋体" w:hAnsi="Times New Roman" w:eastAsia="宋体" w:cs="Times New Roman"/>
          <w:sz w:val="21"/>
          <w:szCs w:val="22"/>
          <w:u w:val="none"/>
          <w:shd w:val="clear"/>
          <w:lang w:val="en-US" w:eastAsia="zh-CN" w:bidi="ar-SA"/>
        </w:rPr>
      </w:pPr>
      <w:r>
        <w:rPr>
          <w:rFonts w:hint="eastAsia" w:ascii="宋体" w:hAnsi="Times New Roman" w:eastAsia="宋体" w:cs="Times New Roman"/>
          <w:sz w:val="21"/>
          <w:szCs w:val="22"/>
          <w:u w:val="none"/>
          <w:shd w:val="clear"/>
          <w:lang w:val="en-US" w:eastAsia="en-US" w:bidi="ar-SA"/>
        </w:rPr>
        <w:t>A——</w:t>
      </w:r>
      <w:r>
        <w:rPr>
          <w:rFonts w:hint="eastAsia" w:ascii="宋体" w:hAnsi="Times New Roman" w:eastAsia="宋体" w:cs="Times New Roman"/>
          <w:sz w:val="21"/>
          <w:szCs w:val="22"/>
          <w:u w:val="none"/>
          <w:shd w:val="clear"/>
          <w:lang w:val="en-US" w:eastAsia="zh-CN" w:bidi="ar-SA"/>
        </w:rPr>
        <w:t>可滴定酸含量，单位为百分率(%)。</w:t>
      </w:r>
    </w:p>
    <w:p>
      <w:pPr>
        <w:pStyle w:val="37"/>
        <w:spacing w:before="156" w:after="156"/>
        <w:ind w:left="0"/>
        <w:rPr>
          <w:rFonts w:hint="eastAsia"/>
        </w:rPr>
      </w:pPr>
      <w:r>
        <w:rPr>
          <w:rFonts w:hint="eastAsia"/>
        </w:rPr>
        <w:t>可食率的测定</w:t>
      </w:r>
    </w:p>
    <w:p>
      <w:pPr>
        <w:pStyle w:val="37"/>
        <w:numPr>
          <w:ilvl w:val="2"/>
          <w:numId w:val="0"/>
        </w:numPr>
        <w:spacing w:before="156" w:after="156"/>
        <w:ind w:leftChars="0"/>
        <w:rPr>
          <w:rFonts w:hint="eastAsia" w:eastAsia="黑体"/>
          <w:lang w:val="en-US" w:eastAsia="zh-CN"/>
        </w:rPr>
      </w:pPr>
      <w:r>
        <w:rPr>
          <w:rFonts w:hint="eastAsia"/>
          <w:lang w:val="en-US" w:eastAsia="zh-CN"/>
        </w:rPr>
        <w:t>8.2.4.1</w:t>
      </w:r>
    </w:p>
    <w:p>
      <w:pPr>
        <w:pStyle w:val="136"/>
        <w:keepNext w:val="0"/>
        <w:keepLines w:val="0"/>
        <w:widowControl w:val="0"/>
        <w:shd w:val="clear" w:color="auto" w:fill="auto"/>
        <w:bidi w:val="0"/>
        <w:spacing w:before="0" w:line="372" w:lineRule="exact"/>
        <w:ind w:left="0" w:right="0" w:firstLine="420"/>
        <w:jc w:val="left"/>
        <w:rPr>
          <w:rFonts w:hint="eastAsia" w:ascii="宋体" w:hAnsi="Times New Roman" w:eastAsia="宋体" w:cs="Times New Roman"/>
          <w:sz w:val="21"/>
          <w:szCs w:val="22"/>
          <w:u w:val="none"/>
          <w:shd w:val="clear"/>
          <w:lang w:val="en-US" w:eastAsia="zh-CN" w:bidi="ar-SA"/>
        </w:rPr>
      </w:pPr>
      <w:r>
        <w:rPr>
          <w:rFonts w:hint="eastAsia" w:ascii="宋体" w:hAnsi="Times New Roman" w:eastAsia="宋体" w:cs="Times New Roman"/>
          <w:sz w:val="21"/>
          <w:szCs w:val="22"/>
          <w:u w:val="none"/>
          <w:shd w:val="clear"/>
          <w:lang w:val="zh-TW" w:eastAsia="zh-TW" w:bidi="ar-SA"/>
        </w:rPr>
        <w:t>主要设备：感量</w:t>
      </w:r>
      <w:r>
        <w:rPr>
          <w:rFonts w:hint="eastAsia" w:ascii="宋体" w:hAnsi="Times New Roman" w:eastAsia="宋体" w:cs="Times New Roman"/>
          <w:sz w:val="21"/>
          <w:szCs w:val="22"/>
          <w:u w:val="none"/>
          <w:shd w:val="clear"/>
          <w:lang w:val="en-US" w:eastAsia="zh-CN" w:bidi="ar-SA"/>
        </w:rPr>
        <w:t>0.</w:t>
      </w:r>
      <w:r>
        <w:rPr>
          <w:rFonts w:hint="eastAsia" w:ascii="宋体" w:hAnsi="Times New Roman" w:eastAsia="宋体" w:cs="Times New Roman"/>
          <w:sz w:val="21"/>
          <w:szCs w:val="22"/>
          <w:u w:val="none"/>
          <w:shd w:val="clear"/>
          <w:lang w:val="en-US" w:eastAsia="en-US" w:bidi="ar-SA"/>
        </w:rPr>
        <w:t>lg</w:t>
      </w:r>
      <w:r>
        <w:rPr>
          <w:rFonts w:hint="eastAsia" w:ascii="宋体" w:hAnsi="Times New Roman" w:eastAsia="宋体" w:cs="Times New Roman"/>
          <w:sz w:val="21"/>
          <w:szCs w:val="22"/>
          <w:u w:val="none"/>
          <w:shd w:val="clear"/>
          <w:lang w:val="zh-TW" w:eastAsia="zh-TW" w:bidi="ar-SA"/>
        </w:rPr>
        <w:t>称重</w:t>
      </w:r>
      <w:r>
        <w:rPr>
          <w:rFonts w:hint="eastAsia" w:ascii="宋体" w:hAnsi="Times New Roman" w:eastAsia="宋体" w:cs="Times New Roman"/>
          <w:sz w:val="21"/>
          <w:szCs w:val="22"/>
          <w:u w:val="none"/>
          <w:shd w:val="clear"/>
          <w:lang w:val="en-US" w:eastAsia="en-US" w:bidi="ar-SA"/>
        </w:rPr>
        <w:t>2000g</w:t>
      </w:r>
      <w:r>
        <w:rPr>
          <w:rFonts w:hint="eastAsia" w:ascii="宋体" w:hAnsi="Times New Roman" w:eastAsia="宋体" w:cs="Times New Roman"/>
          <w:sz w:val="21"/>
          <w:szCs w:val="22"/>
          <w:u w:val="none"/>
          <w:shd w:val="clear"/>
          <w:lang w:val="zh-TW" w:eastAsia="zh-TW" w:bidi="ar-SA"/>
        </w:rPr>
        <w:t>的托盘天平，不锈钢刀，白瓷盘</w:t>
      </w:r>
      <w:r>
        <w:rPr>
          <w:rFonts w:hint="eastAsia" w:ascii="宋体" w:hAnsi="Times New Roman" w:eastAsia="宋体" w:cs="Times New Roman"/>
          <w:sz w:val="21"/>
          <w:szCs w:val="22"/>
          <w:u w:val="none"/>
          <w:shd w:val="clear"/>
          <w:lang w:val="zh-TW" w:eastAsia="zh-CN" w:bidi="ar-SA"/>
        </w:rPr>
        <w:t>。</w:t>
      </w:r>
    </w:p>
    <w:p>
      <w:pPr>
        <w:pStyle w:val="37"/>
        <w:numPr>
          <w:ilvl w:val="2"/>
          <w:numId w:val="0"/>
        </w:numPr>
        <w:spacing w:before="156" w:after="156"/>
        <w:ind w:leftChars="0"/>
        <w:rPr>
          <w:rFonts w:hint="eastAsia"/>
          <w:lang w:val="en-US" w:eastAsia="en-US"/>
        </w:rPr>
      </w:pPr>
      <w:r>
        <w:rPr>
          <w:rFonts w:hint="eastAsia"/>
          <w:lang w:val="en-US" w:eastAsia="zh-CN"/>
        </w:rPr>
        <w:t>8.</w:t>
      </w:r>
      <w:r>
        <w:rPr>
          <w:rFonts w:hint="eastAsia"/>
          <w:lang w:val="en-US" w:eastAsia="en-US"/>
        </w:rPr>
        <w:t>2.4.2</w:t>
      </w:r>
    </w:p>
    <w:p>
      <w:pPr>
        <w:pStyle w:val="136"/>
        <w:keepNext w:val="0"/>
        <w:keepLines w:val="0"/>
        <w:widowControl w:val="0"/>
        <w:shd w:val="clear" w:color="auto" w:fill="auto"/>
        <w:bidi w:val="0"/>
        <w:spacing w:before="0" w:line="372" w:lineRule="exact"/>
        <w:ind w:left="0" w:right="0" w:firstLine="420"/>
        <w:jc w:val="left"/>
        <w:rPr>
          <w:rFonts w:hint="eastAsia" w:ascii="宋体" w:hAnsi="Times New Roman" w:eastAsia="宋体" w:cs="Times New Roman"/>
          <w:sz w:val="21"/>
          <w:szCs w:val="22"/>
          <w:u w:val="none"/>
          <w:shd w:val="clear"/>
          <w:lang w:val="en-US" w:eastAsia="zh-CN" w:bidi="ar-SA"/>
        </w:rPr>
      </w:pPr>
      <w:r>
        <w:rPr>
          <w:rFonts w:hint="eastAsia" w:ascii="宋体" w:hAnsi="Times New Roman" w:eastAsia="宋体" w:cs="Times New Roman"/>
          <w:sz w:val="21"/>
          <w:szCs w:val="22"/>
          <w:u w:val="none"/>
          <w:shd w:val="clear"/>
          <w:lang w:val="en-US" w:eastAsia="zh-CN" w:bidi="ar-SA"/>
        </w:rPr>
        <w:t>方法：随机取10穗，每穗10粒样果，称全果重，然后分别称果皮、果核重量，按公式(2)</w:t>
      </w:r>
      <w:bookmarkStart w:id="74" w:name="_GoBack"/>
      <w:bookmarkEnd w:id="74"/>
      <w:r>
        <w:rPr>
          <w:rFonts w:hint="eastAsia" w:ascii="宋体" w:hAnsi="Times New Roman" w:eastAsia="宋体" w:cs="Times New Roman"/>
          <w:sz w:val="21"/>
          <w:szCs w:val="22"/>
          <w:u w:val="none"/>
          <w:shd w:val="clear"/>
          <w:lang w:val="en-US" w:eastAsia="zh-CN" w:bidi="ar-SA"/>
        </w:rPr>
        <w:t>计算结果，精确到小数点后一位。</w:t>
      </w:r>
    </w:p>
    <w:p>
      <w:pPr>
        <w:pStyle w:val="134"/>
        <w:keepNext/>
        <w:keepLines/>
        <w:widowControl w:val="0"/>
        <w:shd w:val="clear" w:color="auto" w:fill="auto"/>
        <w:bidi w:val="0"/>
        <w:spacing w:before="0" w:after="120" w:line="180" w:lineRule="auto"/>
        <w:ind w:right="0"/>
        <w:jc w:val="left"/>
        <w:rPr>
          <w:rFonts w:hint="eastAsia" w:ascii="宋体" w:hAnsi="Times New Roman" w:eastAsia="宋体" w:cs="Times New Roman"/>
          <w:kern w:val="2"/>
          <w:sz w:val="21"/>
          <w:szCs w:val="22"/>
          <w:u w:val="none"/>
          <w:shd w:val="clear" w:color="auto" w:fill="auto"/>
          <w:lang w:val="en-US" w:eastAsia="zh-CN" w:bidi="ar-SA"/>
        </w:rPr>
      </w:pPr>
      <w:r>
        <w:rPr>
          <w:rFonts w:hint="eastAsia" w:ascii="Times New Roman" w:hAnsi="Times New Roman" w:cs="Times New Roman"/>
          <w:color w:val="000000"/>
          <w:spacing w:val="0"/>
          <w:w w:val="100"/>
          <w:position w:val="-24"/>
          <w:lang w:val="en-US" w:eastAsia="zh-CN" w:bidi="en-US"/>
        </w:rPr>
        <w:object>
          <v:shape id="_x0000_i1026" o:spt="75" type="#_x0000_t75" style="height:31pt;width:162pt;" o:ole="t" filled="f" o:preferrelative="t" stroked="f" coordsize="21600,21600">
            <v:path/>
            <v:fill on="f" focussize="0,0"/>
            <v:stroke on="f"/>
            <v:imagedata r:id="rId9" o:title=""/>
            <o:lock v:ext="edit" aspectratio="t"/>
            <w10:wrap type="none"/>
            <w10:anchorlock/>
          </v:shape>
          <o:OLEObject Type="Embed" ProgID="Equation.KSEE3" ShapeID="_x0000_i1026" DrawAspect="Content" ObjectID="_1468075726" r:id="rId8">
            <o:LockedField>false</o:LockedField>
          </o:OLEObject>
        </w:object>
      </w:r>
      <w:r>
        <w:rPr>
          <w:rFonts w:hint="eastAsia" w:ascii="宋体" w:hAnsi="宋体" w:eastAsia="宋体" w:cs="宋体"/>
          <w:i w:val="0"/>
          <w:iCs w:val="0"/>
          <w:color w:val="000000"/>
          <w:spacing w:val="0"/>
          <w:w w:val="100"/>
          <w:kern w:val="2"/>
          <w:position w:val="0"/>
          <w:sz w:val="20"/>
          <w:szCs w:val="20"/>
          <w:u w:val="none"/>
          <w:shd w:val="clear" w:color="auto" w:fill="auto"/>
          <w:lang w:val="en-US" w:eastAsia="zh-CN" w:bidi="zh-TW"/>
        </w:rPr>
        <w:t>............................（2）</w:t>
      </w:r>
    </w:p>
    <w:p>
      <w:pPr>
        <w:pStyle w:val="136"/>
        <w:keepNext w:val="0"/>
        <w:keepLines w:val="0"/>
        <w:widowControl w:val="0"/>
        <w:shd w:val="clear" w:color="auto" w:fill="auto"/>
        <w:bidi w:val="0"/>
        <w:spacing w:before="0" w:after="0" w:line="372" w:lineRule="exact"/>
        <w:ind w:left="0" w:right="0" w:firstLine="420" w:firstLineChars="200"/>
        <w:jc w:val="left"/>
        <w:rPr>
          <w:rFonts w:hint="eastAsia" w:ascii="宋体" w:hAnsi="Times New Roman" w:eastAsia="宋体" w:cs="Times New Roman"/>
          <w:kern w:val="2"/>
          <w:sz w:val="21"/>
          <w:szCs w:val="22"/>
          <w:u w:val="none"/>
          <w:shd w:val="clear" w:color="auto" w:fill="auto"/>
          <w:lang w:val="en-US" w:eastAsia="zh-CN" w:bidi="ar-SA"/>
        </w:rPr>
      </w:pPr>
      <w:r>
        <w:rPr>
          <w:rFonts w:hint="eastAsia" w:ascii="宋体" w:hAnsi="Times New Roman" w:eastAsia="宋体" w:cs="Times New Roman"/>
          <w:kern w:val="2"/>
          <w:sz w:val="21"/>
          <w:szCs w:val="22"/>
          <w:u w:val="none"/>
          <w:shd w:val="clear" w:color="auto" w:fill="auto"/>
          <w:lang w:val="en-US" w:eastAsia="zh-CN" w:bidi="ar-SA"/>
        </w:rPr>
        <w:t>式中：</w:t>
      </w:r>
    </w:p>
    <w:p>
      <w:pPr>
        <w:pStyle w:val="137"/>
        <w:keepNext w:val="0"/>
        <w:keepLines w:val="0"/>
        <w:widowControl w:val="0"/>
        <w:shd w:val="clear" w:color="auto" w:fill="auto"/>
        <w:tabs>
          <w:tab w:val="left" w:pos="1035"/>
        </w:tabs>
        <w:bidi w:val="0"/>
        <w:spacing w:before="0" w:after="0" w:line="240" w:lineRule="auto"/>
        <w:ind w:left="0" w:right="0" w:firstLine="420"/>
        <w:jc w:val="left"/>
        <w:rPr>
          <w:rFonts w:hint="eastAsia" w:eastAsia="宋体"/>
          <w:lang w:eastAsia="zh-CN"/>
        </w:rPr>
      </w:pPr>
      <w:r>
        <w:rPr>
          <w:rFonts w:hint="eastAsia" w:eastAsia="宋体" w:cs="Times New Roman"/>
          <w:color w:val="000000"/>
          <w:spacing w:val="0"/>
          <w:w w:val="100"/>
          <w:position w:val="0"/>
          <w:sz w:val="24"/>
          <w:szCs w:val="24"/>
          <w:lang w:val="en-US" w:eastAsia="zh-CN" w:bidi="en-US"/>
        </w:rPr>
        <w:t>m</w:t>
      </w:r>
      <w:r>
        <w:rPr>
          <w:rFonts w:hint="eastAsia" w:eastAsia="宋体" w:cs="Times New Roman"/>
          <w:color w:val="000000"/>
          <w:spacing w:val="0"/>
          <w:w w:val="100"/>
          <w:position w:val="0"/>
          <w:sz w:val="24"/>
          <w:szCs w:val="24"/>
          <w:vertAlign w:val="subscript"/>
          <w:lang w:val="en-US" w:eastAsia="zh-CN" w:bidi="en-US"/>
        </w:rPr>
        <w:t>1</w:t>
      </w:r>
      <w:r>
        <w:rPr>
          <w:rFonts w:ascii="Times New Roman" w:hAnsi="Times New Roman" w:eastAsia="Times New Roman" w:cs="Times New Roman"/>
          <w:color w:val="000000"/>
          <w:spacing w:val="0"/>
          <w:w w:val="100"/>
          <w:position w:val="0"/>
          <w:lang w:val="zh-TW" w:eastAsia="zh-TW" w:bidi="zh-TW"/>
        </w:rPr>
        <w:t>——</w:t>
      </w:r>
      <w:r>
        <w:rPr>
          <w:rFonts w:hint="eastAsia" w:ascii="宋体" w:hAnsi="Times New Roman" w:eastAsia="宋体" w:cs="Times New Roman"/>
          <w:kern w:val="2"/>
          <w:sz w:val="21"/>
          <w:szCs w:val="22"/>
          <w:u w:val="none"/>
          <w:shd w:val="clear" w:color="auto" w:fill="auto"/>
          <w:lang w:val="zh-TW" w:eastAsia="zh-TW" w:bidi="ar-SA"/>
        </w:rPr>
        <w:t>全果重，单位为克</w:t>
      </w:r>
      <w:r>
        <w:rPr>
          <w:rFonts w:hint="eastAsia" w:ascii="宋体" w:hAnsi="Times New Roman" w:eastAsia="宋体" w:cs="Times New Roman"/>
          <w:kern w:val="2"/>
          <w:sz w:val="21"/>
          <w:szCs w:val="22"/>
          <w:u w:val="none"/>
          <w:shd w:val="clear" w:color="auto" w:fill="auto"/>
          <w:lang w:val="en-US" w:eastAsia="en-US" w:bidi="ar-SA"/>
        </w:rPr>
        <w:t>(g)</w:t>
      </w:r>
      <w:r>
        <w:rPr>
          <w:rFonts w:hint="eastAsia" w:ascii="宋体" w:hAnsi="Times New Roman" w:eastAsia="宋体" w:cs="Times New Roman"/>
          <w:kern w:val="2"/>
          <w:sz w:val="21"/>
          <w:szCs w:val="22"/>
          <w:u w:val="none"/>
          <w:shd w:val="clear" w:color="auto" w:fill="auto"/>
          <w:lang w:val="en-US" w:eastAsia="zh-CN" w:bidi="ar-SA"/>
        </w:rPr>
        <w:t>；</w:t>
      </w:r>
    </w:p>
    <w:p>
      <w:pPr>
        <w:pStyle w:val="136"/>
        <w:keepNext w:val="0"/>
        <w:keepLines w:val="0"/>
        <w:widowControl w:val="0"/>
        <w:shd w:val="clear" w:color="auto" w:fill="auto"/>
        <w:tabs>
          <w:tab w:val="left" w:leader="hyphen" w:pos="1035"/>
        </w:tabs>
        <w:bidi w:val="0"/>
        <w:spacing w:before="0" w:after="0" w:line="372" w:lineRule="exact"/>
        <w:ind w:left="0" w:right="0" w:firstLine="420"/>
        <w:jc w:val="left"/>
        <w:rPr>
          <w:rFonts w:hint="eastAsia" w:eastAsia="宋体"/>
          <w:lang w:eastAsia="zh-CN"/>
        </w:rPr>
      </w:pPr>
      <w:r>
        <w:rPr>
          <w:rFonts w:ascii="Times New Roman" w:hAnsi="Times New Roman" w:eastAsia="Times New Roman" w:cs="Times New Roman"/>
          <w:color w:val="000000"/>
          <w:spacing w:val="0"/>
          <w:w w:val="100"/>
          <w:position w:val="0"/>
          <w:sz w:val="24"/>
          <w:szCs w:val="24"/>
          <w:lang w:val="en-US" w:eastAsia="en-US" w:bidi="en-US"/>
        </w:rPr>
        <w:t>m</w:t>
      </w:r>
      <w:r>
        <w:rPr>
          <w:rFonts w:ascii="Times New Roman" w:hAnsi="Times New Roman" w:eastAsia="Times New Roman" w:cs="Times New Roman"/>
          <w:color w:val="000000"/>
          <w:spacing w:val="0"/>
          <w:w w:val="100"/>
          <w:position w:val="0"/>
          <w:sz w:val="24"/>
          <w:szCs w:val="24"/>
          <w:vertAlign w:val="subscript"/>
          <w:lang w:val="en-US" w:eastAsia="en-US" w:bidi="en-US"/>
        </w:rPr>
        <w:t>2</w:t>
      </w:r>
      <w:r>
        <w:rPr>
          <w:rFonts w:ascii="Times New Roman" w:hAnsi="Times New Roman" w:eastAsia="Times New Roman" w:cs="Times New Roman"/>
          <w:color w:val="000000"/>
          <w:spacing w:val="0"/>
          <w:w w:val="100"/>
          <w:position w:val="0"/>
          <w:lang w:val="zh-TW" w:eastAsia="zh-TW" w:bidi="zh-TW"/>
        </w:rPr>
        <w:t>——</w:t>
      </w:r>
      <w:r>
        <w:rPr>
          <w:rFonts w:hint="eastAsia" w:ascii="宋体" w:hAnsi="Times New Roman" w:eastAsia="宋体" w:cs="Times New Roman"/>
          <w:kern w:val="2"/>
          <w:sz w:val="21"/>
          <w:szCs w:val="22"/>
          <w:u w:val="none"/>
          <w:shd w:val="clear" w:color="auto" w:fill="auto"/>
          <w:lang w:val="zh-TW" w:eastAsia="zh-TW" w:bidi="ar-SA"/>
        </w:rPr>
        <w:t>果皮重，单位为克</w:t>
      </w:r>
      <w:r>
        <w:rPr>
          <w:rFonts w:hint="eastAsia" w:ascii="宋体" w:hAnsi="Times New Roman" w:eastAsia="宋体" w:cs="Times New Roman"/>
          <w:kern w:val="2"/>
          <w:sz w:val="21"/>
          <w:szCs w:val="22"/>
          <w:u w:val="none"/>
          <w:shd w:val="clear" w:color="auto" w:fill="auto"/>
          <w:lang w:val="en-US" w:eastAsia="en-US" w:bidi="ar-SA"/>
        </w:rPr>
        <w:t>(g)</w:t>
      </w:r>
      <w:r>
        <w:rPr>
          <w:rFonts w:hint="eastAsia" w:ascii="宋体" w:hAnsi="Times New Roman" w:eastAsia="宋体" w:cs="Times New Roman"/>
          <w:kern w:val="2"/>
          <w:sz w:val="21"/>
          <w:szCs w:val="22"/>
          <w:u w:val="none"/>
          <w:shd w:val="clear" w:color="auto" w:fill="auto"/>
          <w:lang w:val="en-US" w:eastAsia="zh-CN" w:bidi="ar-SA"/>
        </w:rPr>
        <w:t>；</w:t>
      </w:r>
    </w:p>
    <w:p>
      <w:pPr>
        <w:pStyle w:val="137"/>
        <w:keepNext w:val="0"/>
        <w:keepLines w:val="0"/>
        <w:widowControl w:val="0"/>
        <w:shd w:val="clear" w:color="auto" w:fill="auto"/>
        <w:bidi w:val="0"/>
        <w:spacing w:before="0" w:after="120" w:line="372" w:lineRule="exact"/>
        <w:ind w:left="0" w:right="0" w:firstLine="420"/>
        <w:jc w:val="left"/>
        <w:rPr>
          <w:rFonts w:hint="eastAsia" w:ascii="宋体" w:hAnsi="Times New Roman" w:eastAsia="宋体" w:cs="Times New Roman"/>
          <w:sz w:val="21"/>
          <w:szCs w:val="22"/>
          <w:u w:val="none"/>
          <w:shd w:val="clear"/>
          <w:lang w:val="en-US" w:eastAsia="zh-CN" w:bidi="ar-SA"/>
        </w:rPr>
      </w:pPr>
      <w:r>
        <w:rPr>
          <w:rFonts w:ascii="Times New Roman" w:hAnsi="Times New Roman" w:eastAsia="Times New Roman" w:cs="Times New Roman"/>
          <w:color w:val="000000"/>
          <w:spacing w:val="0"/>
          <w:w w:val="100"/>
          <w:position w:val="0"/>
          <w:sz w:val="24"/>
          <w:szCs w:val="24"/>
          <w:lang w:val="en-US" w:eastAsia="en-US" w:bidi="en-US"/>
        </w:rPr>
        <w:t>m</w:t>
      </w:r>
      <w:r>
        <w:rPr>
          <w:rFonts w:ascii="Times New Roman" w:hAnsi="Times New Roman" w:eastAsia="Times New Roman" w:cs="Times New Roman"/>
          <w:color w:val="000000"/>
          <w:spacing w:val="0"/>
          <w:w w:val="100"/>
          <w:position w:val="0"/>
          <w:sz w:val="24"/>
          <w:szCs w:val="24"/>
          <w:vertAlign w:val="subscript"/>
          <w:lang w:val="en-US" w:eastAsia="en-US" w:bidi="en-US"/>
        </w:rPr>
        <w:t>3</w:t>
      </w:r>
      <w:r>
        <w:rPr>
          <w:rFonts w:ascii="Times New Roman" w:hAnsi="Times New Roman" w:eastAsia="Times New Roman" w:cs="Times New Roman"/>
          <w:color w:val="000000"/>
          <w:spacing w:val="0"/>
          <w:w w:val="100"/>
          <w:position w:val="0"/>
          <w:lang w:val="zh-TW" w:eastAsia="zh-TW" w:bidi="zh-TW"/>
        </w:rPr>
        <w:t>——</w:t>
      </w:r>
      <w:r>
        <w:rPr>
          <w:rFonts w:hint="eastAsia" w:ascii="宋体" w:hAnsi="Times New Roman" w:eastAsia="宋体" w:cs="Times New Roman"/>
          <w:kern w:val="2"/>
          <w:sz w:val="21"/>
          <w:szCs w:val="22"/>
          <w:u w:val="none"/>
          <w:shd w:val="clear" w:color="auto" w:fill="auto"/>
          <w:lang w:val="zh-TW" w:eastAsia="zh-TW" w:bidi="ar-SA"/>
        </w:rPr>
        <w:t>果核重，单位为克</w:t>
      </w:r>
      <w:r>
        <w:rPr>
          <w:rFonts w:hint="eastAsia" w:ascii="宋体" w:hAnsi="Times New Roman" w:eastAsia="宋体" w:cs="Times New Roman"/>
          <w:kern w:val="2"/>
          <w:sz w:val="21"/>
          <w:szCs w:val="22"/>
          <w:u w:val="none"/>
          <w:shd w:val="clear" w:color="auto" w:fill="auto"/>
          <w:lang w:val="en-US" w:eastAsia="en-US" w:bidi="ar-SA"/>
        </w:rPr>
        <w:t>(g)</w:t>
      </w:r>
      <w:r>
        <w:rPr>
          <w:rFonts w:hint="eastAsia" w:ascii="宋体" w:hAnsi="Times New Roman" w:eastAsia="宋体" w:cs="Times New Roman"/>
          <w:kern w:val="2"/>
          <w:sz w:val="21"/>
          <w:szCs w:val="22"/>
          <w:u w:val="none"/>
          <w:shd w:val="clear" w:color="auto" w:fill="auto"/>
          <w:lang w:val="en-US" w:eastAsia="zh-CN" w:bidi="ar-SA"/>
        </w:rPr>
        <w:t>。</w:t>
      </w:r>
    </w:p>
    <w:p>
      <w:pPr>
        <w:pStyle w:val="37"/>
        <w:spacing w:before="156" w:after="156"/>
        <w:ind w:left="0"/>
        <w:rPr>
          <w:rFonts w:hint="eastAsia"/>
        </w:rPr>
      </w:pPr>
      <w:r>
        <w:rPr>
          <w:rFonts w:hint="eastAsia"/>
        </w:rPr>
        <w:t>无核率的测定</w:t>
      </w:r>
    </w:p>
    <w:p>
      <w:pPr>
        <w:pStyle w:val="37"/>
        <w:numPr>
          <w:ilvl w:val="2"/>
          <w:numId w:val="0"/>
        </w:numPr>
        <w:spacing w:before="156" w:after="156"/>
        <w:ind w:leftChars="0"/>
        <w:rPr>
          <w:rFonts w:hint="eastAsia"/>
          <w:lang w:val="en-US" w:eastAsia="zh-CN"/>
        </w:rPr>
      </w:pPr>
      <w:r>
        <w:rPr>
          <w:rFonts w:hint="eastAsia"/>
          <w:lang w:val="en-US" w:eastAsia="zh-CN"/>
        </w:rPr>
        <w:t>8.2.5.1</w:t>
      </w:r>
    </w:p>
    <w:p>
      <w:pPr>
        <w:pStyle w:val="37"/>
        <w:numPr>
          <w:ilvl w:val="2"/>
          <w:numId w:val="0"/>
        </w:numPr>
        <w:spacing w:before="156" w:after="156"/>
        <w:ind w:leftChars="0" w:firstLine="420" w:firstLineChars="200"/>
        <w:rPr>
          <w:rFonts w:hint="eastAsia" w:eastAsia="黑体"/>
          <w:lang w:val="en-US" w:eastAsia="zh-CN"/>
        </w:rPr>
      </w:pPr>
      <w:r>
        <w:rPr>
          <w:rFonts w:hint="eastAsia" w:ascii="宋体" w:hAnsi="Times New Roman" w:eastAsia="宋体" w:cs="Times New Roman"/>
          <w:kern w:val="2"/>
          <w:sz w:val="21"/>
          <w:szCs w:val="22"/>
          <w:u w:val="none"/>
          <w:shd w:val="clear" w:color="auto" w:fill="auto"/>
          <w:lang w:val="zh-TW" w:eastAsia="zh-TW" w:bidi="ar-SA"/>
        </w:rPr>
        <w:t>主要设备：不锈钢刀，白瓷盘。</w:t>
      </w:r>
    </w:p>
    <w:p>
      <w:pPr>
        <w:pStyle w:val="37"/>
        <w:numPr>
          <w:ilvl w:val="2"/>
          <w:numId w:val="0"/>
        </w:numPr>
        <w:spacing w:before="156" w:after="156"/>
        <w:ind w:leftChars="0"/>
        <w:rPr>
          <w:rFonts w:hint="eastAsia"/>
          <w:lang w:val="en-US" w:eastAsia="zh-CN"/>
        </w:rPr>
      </w:pPr>
      <w:r>
        <w:rPr>
          <w:rFonts w:hint="eastAsia"/>
          <w:lang w:val="en-US" w:eastAsia="zh-CN"/>
        </w:rPr>
        <w:t>8.2.5.2</w:t>
      </w:r>
    </w:p>
    <w:p>
      <w:pPr>
        <w:pStyle w:val="136"/>
        <w:keepNext w:val="0"/>
        <w:keepLines w:val="0"/>
        <w:widowControl w:val="0"/>
        <w:shd w:val="clear" w:color="auto" w:fill="auto"/>
        <w:bidi w:val="0"/>
        <w:spacing w:before="0" w:after="260" w:line="372" w:lineRule="exact"/>
        <w:ind w:left="0" w:right="0" w:firstLine="420" w:firstLineChars="200"/>
        <w:jc w:val="left"/>
        <w:rPr>
          <w:rFonts w:hint="eastAsia" w:ascii="宋体" w:hAnsi="Times New Roman" w:eastAsia="宋体" w:cs="Times New Roman"/>
          <w:kern w:val="2"/>
          <w:sz w:val="21"/>
          <w:szCs w:val="22"/>
          <w:u w:val="none"/>
          <w:shd w:val="clear" w:color="auto" w:fill="auto"/>
          <w:lang w:val="zh-TW" w:eastAsia="zh-TW" w:bidi="ar-SA"/>
        </w:rPr>
      </w:pPr>
      <w:r>
        <w:rPr>
          <w:rFonts w:hint="eastAsia" w:ascii="宋体" w:hAnsi="Times New Roman" w:eastAsia="宋体" w:cs="Times New Roman"/>
          <w:kern w:val="2"/>
          <w:sz w:val="21"/>
          <w:szCs w:val="22"/>
          <w:u w:val="none"/>
          <w:shd w:val="clear" w:color="auto" w:fill="auto"/>
          <w:lang w:val="zh-TW" w:eastAsia="zh-TW" w:bidi="ar-SA"/>
        </w:rPr>
        <w:t>随机取20穗，每穗20粒果，然后将果分开，检查果内含核情况，按公式(3)计算结果：</w:t>
      </w:r>
    </w:p>
    <w:p>
      <w:pPr>
        <w:pStyle w:val="136"/>
        <w:keepNext w:val="0"/>
        <w:keepLines w:val="0"/>
        <w:widowControl w:val="0"/>
        <w:shd w:val="clear" w:color="auto" w:fill="auto"/>
        <w:bidi w:val="0"/>
        <w:spacing w:before="0" w:line="240" w:lineRule="auto"/>
        <w:ind w:left="0" w:right="0" w:firstLine="420"/>
        <w:jc w:val="center"/>
        <w:rPr>
          <w:rFonts w:hint="eastAsia" w:eastAsia="宋体"/>
          <w:color w:val="000000"/>
          <w:spacing w:val="0"/>
          <w:w w:val="100"/>
          <w:position w:val="0"/>
          <w:lang w:val="en-US" w:eastAsia="zh-CN"/>
        </w:rPr>
      </w:pPr>
      <w:r>
        <w:rPr>
          <w:color w:val="000000"/>
          <w:spacing w:val="0"/>
          <w:w w:val="100"/>
          <w:position w:val="-24"/>
        </w:rPr>
        <w:object>
          <v:shape id="_x0000_i1027" o:spt="75" type="#_x0000_t75" style="height:31pt;width:114.95pt;" o:ole="t" filled="f" o:preferrelative="t" stroked="f" coordsize="21600,21600">
            <v:path/>
            <v:fill on="f" focussize="0,0"/>
            <v:stroke on="f"/>
            <v:imagedata r:id="rId11" o:title=""/>
            <o:lock v:ext="edit" aspectratio="t"/>
            <w10:wrap type="none"/>
            <w10:anchorlock/>
          </v:shape>
          <o:OLEObject Type="Embed" ProgID="Equation.KSEE3" ShapeID="_x0000_i1027" DrawAspect="Content" ObjectID="_1468075727" r:id="rId10">
            <o:LockedField>false</o:LockedField>
          </o:OLEObject>
        </w:object>
      </w:r>
      <w:r>
        <w:rPr>
          <w:rFonts w:hint="eastAsia"/>
          <w:color w:val="000000"/>
          <w:spacing w:val="0"/>
          <w:w w:val="100"/>
          <w:position w:val="0"/>
          <w:lang w:val="en-US" w:eastAsia="zh-CN"/>
        </w:rPr>
        <w:t>......................（3）</w:t>
      </w:r>
    </w:p>
    <w:p>
      <w:pPr>
        <w:pStyle w:val="136"/>
        <w:keepNext w:val="0"/>
        <w:keepLines w:val="0"/>
        <w:widowControl w:val="0"/>
        <w:shd w:val="clear" w:color="auto" w:fill="auto"/>
        <w:bidi w:val="0"/>
        <w:spacing w:before="0" w:after="260" w:line="372" w:lineRule="exact"/>
        <w:ind w:left="0" w:right="0" w:firstLine="420" w:firstLineChars="200"/>
        <w:jc w:val="left"/>
        <w:rPr>
          <w:rFonts w:hint="eastAsia" w:ascii="宋体" w:hAnsi="Times New Roman" w:eastAsia="宋体" w:cs="Times New Roman"/>
          <w:kern w:val="2"/>
          <w:sz w:val="21"/>
          <w:szCs w:val="22"/>
          <w:u w:val="none"/>
          <w:shd w:val="clear" w:color="auto" w:fill="auto"/>
          <w:lang w:val="zh-TW" w:eastAsia="zh-TW" w:bidi="ar-SA"/>
        </w:rPr>
      </w:pPr>
      <w:r>
        <w:rPr>
          <w:rFonts w:hint="eastAsia" w:ascii="宋体" w:hAnsi="Times New Roman" w:eastAsia="宋体" w:cs="Times New Roman"/>
          <w:kern w:val="2"/>
          <w:sz w:val="21"/>
          <w:szCs w:val="22"/>
          <w:u w:val="none"/>
          <w:shd w:val="clear" w:color="auto" w:fill="auto"/>
          <w:lang w:val="zh-TW" w:eastAsia="zh-TW" w:bidi="ar-SA"/>
        </w:rPr>
        <w:t>式中：</w:t>
      </w:r>
    </w:p>
    <w:p>
      <w:pPr>
        <w:pStyle w:val="136"/>
        <w:keepNext w:val="0"/>
        <w:keepLines w:val="0"/>
        <w:widowControl w:val="0"/>
        <w:shd w:val="clear" w:color="auto" w:fill="auto"/>
        <w:bidi w:val="0"/>
        <w:spacing w:before="0" w:after="0" w:line="240" w:lineRule="auto"/>
        <w:ind w:left="0" w:right="0" w:firstLine="420"/>
        <w:jc w:val="left"/>
      </w:pPr>
      <w:r>
        <w:rPr>
          <w:rFonts w:hint="eastAsia" w:ascii="Times New Roman" w:hAnsi="Times New Roman" w:cs="Times New Roman"/>
          <w:color w:val="000000"/>
          <w:spacing w:val="0"/>
          <w:w w:val="100"/>
          <w:position w:val="0"/>
          <w:sz w:val="24"/>
          <w:szCs w:val="24"/>
          <w:lang w:val="en-US" w:eastAsia="zh-CN" w:bidi="en-US"/>
        </w:rPr>
        <w:t>n</w:t>
      </w:r>
      <w:r>
        <w:rPr>
          <w:rFonts w:hint="eastAsia" w:ascii="Times New Roman" w:hAnsi="Times New Roman" w:cs="Times New Roman"/>
          <w:color w:val="000000"/>
          <w:spacing w:val="0"/>
          <w:w w:val="100"/>
          <w:position w:val="0"/>
          <w:sz w:val="24"/>
          <w:szCs w:val="24"/>
          <w:vertAlign w:val="subscript"/>
          <w:lang w:val="en-US" w:eastAsia="zh-CN" w:bidi="en-US"/>
        </w:rPr>
        <w:t>1</w:t>
      </w:r>
      <w:r>
        <w:rPr>
          <w:rFonts w:ascii="Times New Roman" w:hAnsi="Times New Roman" w:eastAsia="Times New Roman" w:cs="Times New Roman"/>
          <w:color w:val="000000"/>
          <w:spacing w:val="0"/>
          <w:w w:val="100"/>
          <w:position w:val="0"/>
        </w:rPr>
        <w:t>——</w:t>
      </w:r>
      <w:r>
        <w:rPr>
          <w:rFonts w:hint="eastAsia" w:ascii="宋体" w:hAnsi="Times New Roman" w:eastAsia="宋体" w:cs="Times New Roman"/>
          <w:kern w:val="2"/>
          <w:sz w:val="21"/>
          <w:szCs w:val="22"/>
          <w:u w:val="none"/>
          <w:shd w:val="clear" w:color="auto" w:fill="auto"/>
          <w:lang w:val="en-US" w:eastAsia="zh-CN" w:bidi="ar-SA"/>
        </w:rPr>
        <w:t>总果数；</w:t>
      </w:r>
    </w:p>
    <w:p>
      <w:pPr>
        <w:pStyle w:val="136"/>
        <w:keepNext w:val="0"/>
        <w:keepLines w:val="0"/>
        <w:widowControl w:val="0"/>
        <w:shd w:val="clear" w:color="auto" w:fill="auto"/>
        <w:bidi w:val="0"/>
        <w:spacing w:before="0" w:after="260" w:line="372" w:lineRule="exact"/>
        <w:ind w:left="0" w:right="0" w:firstLine="420"/>
        <w:jc w:val="left"/>
        <w:rPr>
          <w:rFonts w:hint="eastAsia" w:ascii="宋体" w:hAnsi="Times New Roman" w:eastAsia="宋体" w:cs="Times New Roman"/>
          <w:sz w:val="21"/>
          <w:szCs w:val="22"/>
          <w:u w:val="none"/>
          <w:shd w:val="clear"/>
          <w:lang w:val="en-US" w:eastAsia="zh-CN" w:bidi="ar-SA"/>
        </w:rPr>
      </w:pPr>
      <w:r>
        <w:rPr>
          <w:rFonts w:ascii="Times New Roman" w:hAnsi="Times New Roman" w:eastAsia="Times New Roman" w:cs="Times New Roman"/>
          <w:color w:val="000000"/>
          <w:spacing w:val="0"/>
          <w:w w:val="100"/>
          <w:position w:val="0"/>
          <w:sz w:val="24"/>
          <w:szCs w:val="24"/>
          <w:lang w:val="en-US" w:eastAsia="en-US" w:bidi="en-US"/>
        </w:rPr>
        <w:t>n</w:t>
      </w:r>
      <w:r>
        <w:rPr>
          <w:rFonts w:ascii="Times New Roman" w:hAnsi="Times New Roman" w:eastAsia="Times New Roman" w:cs="Times New Roman"/>
          <w:color w:val="000000"/>
          <w:spacing w:val="0"/>
          <w:w w:val="100"/>
          <w:position w:val="0"/>
          <w:sz w:val="24"/>
          <w:szCs w:val="24"/>
          <w:vertAlign w:val="subscript"/>
          <w:lang w:val="en-US" w:eastAsia="en-US" w:bidi="en-US"/>
        </w:rPr>
        <w:t>2</w:t>
      </w:r>
      <w:r>
        <w:rPr>
          <w:rFonts w:ascii="Times New Roman" w:hAnsi="Times New Roman" w:eastAsia="Times New Roman" w:cs="Times New Roman"/>
          <w:color w:val="000000"/>
          <w:spacing w:val="0"/>
          <w:w w:val="100"/>
          <w:position w:val="0"/>
          <w:lang w:val="en-US" w:eastAsia="en-US" w:bidi="en-US"/>
        </w:rPr>
        <w:t>——</w:t>
      </w:r>
      <w:r>
        <w:rPr>
          <w:rFonts w:hint="eastAsia" w:ascii="宋体" w:hAnsi="Times New Roman" w:eastAsia="宋体" w:cs="Times New Roman"/>
          <w:sz w:val="21"/>
          <w:szCs w:val="22"/>
          <w:u w:val="none"/>
          <w:shd w:val="clear"/>
          <w:lang w:val="en-US" w:eastAsia="zh-CN" w:bidi="ar-SA"/>
        </w:rPr>
        <w:t>无核的果数。</w:t>
      </w:r>
    </w:p>
    <w:p>
      <w:pPr>
        <w:pStyle w:val="36"/>
        <w:rPr>
          <w:rFonts w:hint="eastAsia"/>
        </w:rPr>
      </w:pPr>
      <w:r>
        <w:rPr>
          <w:rFonts w:hint="eastAsia"/>
          <w:lang w:eastAsia="zh-CN"/>
        </w:rPr>
        <w:t>卫生指标检测</w:t>
      </w:r>
    </w:p>
    <w:p>
      <w:pPr>
        <w:pStyle w:val="37"/>
        <w:spacing w:before="156" w:after="156"/>
        <w:ind w:left="0"/>
        <w:rPr>
          <w:rFonts w:hint="eastAsia"/>
        </w:rPr>
      </w:pPr>
      <w:r>
        <w:rPr>
          <w:rFonts w:hint="eastAsia"/>
          <w:lang w:eastAsia="zh-CN"/>
        </w:rPr>
        <w:t>砷</w:t>
      </w:r>
      <w:r>
        <w:rPr>
          <w:rFonts w:hint="eastAsia"/>
        </w:rPr>
        <w:t>的测定</w:t>
      </w:r>
    </w:p>
    <w:p>
      <w:pPr>
        <w:pStyle w:val="20"/>
        <w:rPr>
          <w:rFonts w:hint="eastAsia" w:eastAsia="宋体"/>
          <w:lang w:eastAsia="zh-CN"/>
        </w:rPr>
      </w:pPr>
      <w:r>
        <w:rPr>
          <w:rFonts w:hint="eastAsia"/>
        </w:rPr>
        <w:t>按GB/T 5009.11</w:t>
      </w:r>
      <w:r>
        <w:rPr>
          <w:rFonts w:hint="eastAsia"/>
          <w:lang w:val="en-US" w:eastAsia="zh-CN"/>
        </w:rPr>
        <w:t xml:space="preserve"> </w:t>
      </w:r>
      <w:r>
        <w:rPr>
          <w:rFonts w:hint="eastAsia"/>
        </w:rPr>
        <w:t>规定执行</w:t>
      </w:r>
      <w:r>
        <w:rPr>
          <w:rFonts w:hint="eastAsia"/>
          <w:lang w:eastAsia="zh-CN"/>
        </w:rPr>
        <w:t>。</w:t>
      </w:r>
    </w:p>
    <w:p>
      <w:pPr>
        <w:pStyle w:val="37"/>
        <w:spacing w:before="156" w:after="156"/>
        <w:ind w:left="0"/>
        <w:rPr>
          <w:rFonts w:hint="eastAsia"/>
        </w:rPr>
      </w:pPr>
      <w:r>
        <w:rPr>
          <w:rFonts w:hint="eastAsia"/>
          <w:lang w:eastAsia="zh-CN"/>
        </w:rPr>
        <w:t>铅</w:t>
      </w:r>
      <w:r>
        <w:rPr>
          <w:rFonts w:hint="eastAsia"/>
        </w:rPr>
        <w:t>的测定</w:t>
      </w:r>
    </w:p>
    <w:p>
      <w:pPr>
        <w:pStyle w:val="20"/>
        <w:rPr>
          <w:rFonts w:hint="eastAsia"/>
          <w:szCs w:val="22"/>
          <w:lang w:val="zh-TW" w:eastAsia="zh-CN"/>
        </w:rPr>
      </w:pPr>
      <w:r>
        <w:rPr>
          <w:rFonts w:hint="eastAsia"/>
          <w:szCs w:val="22"/>
          <w:lang w:val="zh-TW" w:eastAsia="zh-TW"/>
        </w:rPr>
        <w:t>按</w:t>
      </w:r>
      <w:r>
        <w:rPr>
          <w:rFonts w:hint="eastAsia"/>
          <w:szCs w:val="22"/>
          <w:lang w:val="en-US" w:eastAsia="en-US"/>
        </w:rPr>
        <w:t>GB 5009.12</w:t>
      </w:r>
      <w:r>
        <w:rPr>
          <w:rFonts w:hint="eastAsia"/>
          <w:szCs w:val="22"/>
          <w:lang w:val="en-US" w:eastAsia="zh-CN"/>
        </w:rPr>
        <w:t xml:space="preserve"> </w:t>
      </w:r>
      <w:r>
        <w:rPr>
          <w:rFonts w:hint="eastAsia"/>
          <w:szCs w:val="22"/>
          <w:lang w:val="zh-TW" w:eastAsia="zh-TW"/>
        </w:rPr>
        <w:t>规定执行</w:t>
      </w:r>
      <w:r>
        <w:rPr>
          <w:rFonts w:hint="eastAsia"/>
          <w:szCs w:val="22"/>
          <w:lang w:val="zh-TW" w:eastAsia="zh-CN"/>
        </w:rPr>
        <w:t>。</w:t>
      </w:r>
    </w:p>
    <w:p>
      <w:pPr>
        <w:pStyle w:val="37"/>
        <w:spacing w:before="156" w:after="156"/>
        <w:ind w:left="0"/>
        <w:rPr>
          <w:rFonts w:hint="eastAsia"/>
        </w:rPr>
      </w:pPr>
      <w:r>
        <w:rPr>
          <w:rFonts w:hint="eastAsia"/>
          <w:lang w:eastAsia="zh-CN"/>
        </w:rPr>
        <w:t>镉</w:t>
      </w:r>
      <w:r>
        <w:rPr>
          <w:rFonts w:hint="eastAsia"/>
        </w:rPr>
        <w:t>的测定</w:t>
      </w:r>
    </w:p>
    <w:p>
      <w:pPr>
        <w:pStyle w:val="136"/>
        <w:keepNext w:val="0"/>
        <w:keepLines w:val="0"/>
        <w:widowControl w:val="0"/>
        <w:shd w:val="clear" w:color="auto" w:fill="auto"/>
        <w:bidi w:val="0"/>
        <w:spacing w:before="0" w:after="260" w:line="372" w:lineRule="exact"/>
        <w:ind w:left="0" w:right="0" w:firstLine="420"/>
        <w:jc w:val="left"/>
        <w:rPr>
          <w:rFonts w:hint="eastAsia" w:ascii="宋体" w:hAnsi="Times New Roman" w:eastAsia="宋体" w:cs="Times New Roman"/>
          <w:sz w:val="21"/>
          <w:szCs w:val="22"/>
          <w:u w:val="none"/>
          <w:shd w:val="clear"/>
          <w:lang w:val="en-US" w:eastAsia="zh-CN" w:bidi="ar-SA"/>
        </w:rPr>
      </w:pPr>
      <w:r>
        <w:rPr>
          <w:rFonts w:hint="eastAsia" w:ascii="宋体" w:hAnsi="Times New Roman" w:eastAsia="宋体" w:cs="Times New Roman"/>
          <w:sz w:val="21"/>
          <w:szCs w:val="22"/>
          <w:u w:val="none"/>
          <w:shd w:val="clear"/>
          <w:lang w:val="zh-TW" w:eastAsia="zh-TW" w:bidi="ar-SA"/>
        </w:rPr>
        <w:t>按GB/T 5009.15</w:t>
      </w:r>
      <w:r>
        <w:rPr>
          <w:rFonts w:hint="eastAsia" w:hAnsi="Times New Roman" w:cs="Times New Roman"/>
          <w:sz w:val="21"/>
          <w:szCs w:val="22"/>
          <w:u w:val="none"/>
          <w:shd w:val="clear"/>
          <w:lang w:val="en-US" w:eastAsia="zh-CN" w:bidi="ar-SA"/>
        </w:rPr>
        <w:t xml:space="preserve"> </w:t>
      </w:r>
      <w:r>
        <w:rPr>
          <w:rFonts w:hint="eastAsia" w:ascii="宋体" w:hAnsi="Times New Roman" w:eastAsia="宋体" w:cs="Times New Roman"/>
          <w:sz w:val="21"/>
          <w:szCs w:val="22"/>
          <w:u w:val="none"/>
          <w:shd w:val="clear"/>
          <w:lang w:val="zh-TW" w:eastAsia="zh-TW" w:bidi="ar-SA"/>
        </w:rPr>
        <w:t>规定执行</w:t>
      </w:r>
      <w:r>
        <w:rPr>
          <w:rFonts w:hint="eastAsia" w:ascii="宋体" w:hAnsi="Times New Roman" w:eastAsia="宋体" w:cs="Times New Roman"/>
          <w:sz w:val="21"/>
          <w:szCs w:val="22"/>
          <w:u w:val="none"/>
          <w:shd w:val="clear"/>
          <w:lang w:val="zh-TW" w:eastAsia="zh-CN" w:bidi="ar-SA"/>
        </w:rPr>
        <w:t>。</w:t>
      </w:r>
    </w:p>
    <w:p>
      <w:pPr>
        <w:pStyle w:val="37"/>
        <w:spacing w:before="156" w:after="156"/>
        <w:ind w:left="0"/>
        <w:rPr>
          <w:rFonts w:hint="eastAsia"/>
        </w:rPr>
      </w:pPr>
      <w:r>
        <w:rPr>
          <w:rFonts w:hint="eastAsia"/>
          <w:lang w:eastAsia="zh-CN"/>
        </w:rPr>
        <w:t>汞</w:t>
      </w:r>
      <w:r>
        <w:rPr>
          <w:rFonts w:hint="eastAsia"/>
        </w:rPr>
        <w:t>的测定</w:t>
      </w:r>
    </w:p>
    <w:p>
      <w:pPr>
        <w:pStyle w:val="136"/>
        <w:keepNext w:val="0"/>
        <w:keepLines w:val="0"/>
        <w:widowControl w:val="0"/>
        <w:shd w:val="clear" w:color="auto" w:fill="auto"/>
        <w:bidi w:val="0"/>
        <w:spacing w:before="0" w:after="260" w:line="372" w:lineRule="exact"/>
        <w:ind w:left="0" w:right="0" w:firstLine="420"/>
        <w:jc w:val="left"/>
        <w:rPr>
          <w:rFonts w:hint="eastAsia" w:ascii="宋体" w:hAnsi="Times New Roman" w:eastAsia="宋体" w:cs="Times New Roman"/>
          <w:sz w:val="21"/>
          <w:szCs w:val="22"/>
          <w:u w:val="none"/>
          <w:shd w:val="clear"/>
          <w:lang w:val="en-US" w:eastAsia="zh-CN" w:bidi="ar-SA"/>
        </w:rPr>
      </w:pPr>
      <w:r>
        <w:rPr>
          <w:rFonts w:hint="eastAsia" w:ascii="宋体" w:hAnsi="Times New Roman" w:eastAsia="宋体" w:cs="Times New Roman"/>
          <w:sz w:val="21"/>
          <w:szCs w:val="22"/>
          <w:u w:val="none"/>
          <w:shd w:val="clear"/>
          <w:lang w:val="zh-TW" w:eastAsia="zh-TW" w:bidi="ar-SA"/>
        </w:rPr>
        <w:t>按GB/T 5009.17</w:t>
      </w:r>
      <w:r>
        <w:rPr>
          <w:rFonts w:hint="eastAsia" w:hAnsi="Times New Roman" w:cs="Times New Roman"/>
          <w:sz w:val="21"/>
          <w:szCs w:val="22"/>
          <w:u w:val="none"/>
          <w:shd w:val="clear"/>
          <w:lang w:val="en-US" w:eastAsia="zh-CN" w:bidi="ar-SA"/>
        </w:rPr>
        <w:t xml:space="preserve"> </w:t>
      </w:r>
      <w:r>
        <w:rPr>
          <w:rFonts w:hint="eastAsia" w:ascii="宋体" w:hAnsi="Times New Roman" w:eastAsia="宋体" w:cs="Times New Roman"/>
          <w:sz w:val="21"/>
          <w:szCs w:val="22"/>
          <w:u w:val="none"/>
          <w:shd w:val="clear"/>
          <w:lang w:val="zh-TW" w:eastAsia="zh-TW" w:bidi="ar-SA"/>
        </w:rPr>
        <w:t>规定执行</w:t>
      </w:r>
      <w:r>
        <w:rPr>
          <w:rFonts w:hint="eastAsia" w:ascii="宋体" w:hAnsi="Times New Roman" w:eastAsia="宋体" w:cs="Times New Roman"/>
          <w:sz w:val="21"/>
          <w:szCs w:val="22"/>
          <w:u w:val="none"/>
          <w:shd w:val="clear"/>
          <w:lang w:val="zh-TW" w:eastAsia="zh-CN" w:bidi="ar-SA"/>
        </w:rPr>
        <w:t>。</w:t>
      </w:r>
    </w:p>
    <w:p>
      <w:pPr>
        <w:pStyle w:val="37"/>
        <w:spacing w:before="156" w:after="156"/>
        <w:ind w:left="0"/>
        <w:rPr>
          <w:rFonts w:hint="eastAsia"/>
        </w:rPr>
      </w:pPr>
      <w:r>
        <w:rPr>
          <w:rFonts w:hint="eastAsia"/>
          <w:lang w:eastAsia="zh-CN"/>
        </w:rPr>
        <w:t>敌敌畏、乐果</w:t>
      </w:r>
      <w:r>
        <w:rPr>
          <w:rFonts w:hint="eastAsia"/>
        </w:rPr>
        <w:t>的测定</w:t>
      </w:r>
    </w:p>
    <w:p>
      <w:pPr>
        <w:pStyle w:val="136"/>
        <w:keepNext w:val="0"/>
        <w:keepLines w:val="0"/>
        <w:widowControl w:val="0"/>
        <w:shd w:val="clear" w:color="auto" w:fill="auto"/>
        <w:bidi w:val="0"/>
        <w:spacing w:before="0" w:after="260" w:line="372" w:lineRule="exact"/>
        <w:ind w:left="0" w:right="0" w:firstLine="420"/>
        <w:jc w:val="left"/>
        <w:rPr>
          <w:rFonts w:hint="eastAsia" w:ascii="宋体" w:hAnsi="Times New Roman" w:eastAsia="宋体" w:cs="Times New Roman"/>
          <w:sz w:val="21"/>
          <w:szCs w:val="22"/>
          <w:u w:val="none"/>
          <w:shd w:val="clear"/>
          <w:lang w:val="en-US" w:eastAsia="zh-CN" w:bidi="ar-SA"/>
        </w:rPr>
      </w:pPr>
      <w:r>
        <w:rPr>
          <w:rFonts w:hint="eastAsia" w:ascii="宋体" w:hAnsi="Times New Roman" w:eastAsia="宋体" w:cs="Times New Roman"/>
          <w:sz w:val="21"/>
          <w:szCs w:val="22"/>
          <w:u w:val="none"/>
          <w:shd w:val="clear"/>
          <w:lang w:val="zh-TW" w:eastAsia="zh-TW" w:bidi="ar-SA"/>
        </w:rPr>
        <w:t>按GB/T 5009.20</w:t>
      </w:r>
      <w:r>
        <w:rPr>
          <w:rFonts w:hint="eastAsia" w:hAnsi="Times New Roman" w:cs="Times New Roman"/>
          <w:sz w:val="21"/>
          <w:szCs w:val="22"/>
          <w:u w:val="none"/>
          <w:shd w:val="clear"/>
          <w:lang w:val="en-US" w:eastAsia="zh-CN" w:bidi="ar-SA"/>
        </w:rPr>
        <w:t xml:space="preserve"> </w:t>
      </w:r>
      <w:r>
        <w:rPr>
          <w:rFonts w:hint="eastAsia" w:ascii="宋体" w:hAnsi="Times New Roman" w:eastAsia="宋体" w:cs="Times New Roman"/>
          <w:sz w:val="21"/>
          <w:szCs w:val="22"/>
          <w:u w:val="none"/>
          <w:shd w:val="clear"/>
          <w:lang w:val="zh-TW" w:eastAsia="zh-TW" w:bidi="ar-SA"/>
        </w:rPr>
        <w:t>规定执行</w:t>
      </w:r>
      <w:r>
        <w:rPr>
          <w:rFonts w:hint="eastAsia" w:ascii="宋体" w:hAnsi="Times New Roman" w:eastAsia="宋体" w:cs="Times New Roman"/>
          <w:sz w:val="21"/>
          <w:szCs w:val="22"/>
          <w:u w:val="none"/>
          <w:shd w:val="clear"/>
          <w:lang w:val="zh-TW" w:eastAsia="zh-CN" w:bidi="ar-SA"/>
        </w:rPr>
        <w:t>。</w:t>
      </w:r>
    </w:p>
    <w:p>
      <w:pPr>
        <w:pStyle w:val="37"/>
        <w:spacing w:before="156" w:after="156"/>
        <w:ind w:left="0"/>
        <w:rPr>
          <w:rFonts w:hint="eastAsia"/>
        </w:rPr>
      </w:pPr>
      <w:r>
        <w:rPr>
          <w:rFonts w:hint="eastAsia"/>
          <w:lang w:eastAsia="zh-CN"/>
        </w:rPr>
        <w:t>多菌灵</w:t>
      </w:r>
      <w:r>
        <w:rPr>
          <w:rFonts w:hint="eastAsia"/>
        </w:rPr>
        <w:t>的测定</w:t>
      </w:r>
    </w:p>
    <w:p>
      <w:pPr>
        <w:pStyle w:val="136"/>
        <w:keepNext w:val="0"/>
        <w:keepLines w:val="0"/>
        <w:widowControl w:val="0"/>
        <w:shd w:val="clear" w:color="auto" w:fill="auto"/>
        <w:bidi w:val="0"/>
        <w:spacing w:before="0" w:after="260" w:line="372" w:lineRule="exact"/>
        <w:ind w:left="0" w:right="0" w:firstLine="420"/>
        <w:jc w:val="left"/>
        <w:rPr>
          <w:rFonts w:hint="eastAsia" w:ascii="宋体" w:hAnsi="Times New Roman" w:eastAsia="宋体" w:cs="Times New Roman"/>
          <w:sz w:val="21"/>
          <w:szCs w:val="22"/>
          <w:u w:val="none"/>
          <w:shd w:val="clear"/>
          <w:lang w:val="en-US" w:eastAsia="zh-CN" w:bidi="ar-SA"/>
        </w:rPr>
      </w:pPr>
      <w:r>
        <w:rPr>
          <w:rFonts w:hint="eastAsia" w:ascii="宋体" w:hAnsi="Times New Roman" w:eastAsia="宋体" w:cs="Times New Roman"/>
          <w:sz w:val="21"/>
          <w:szCs w:val="22"/>
          <w:u w:val="none"/>
          <w:shd w:val="clear"/>
          <w:lang w:val="zh-TW" w:eastAsia="zh-TW" w:bidi="ar-SA"/>
        </w:rPr>
        <w:t>按GB/T 5009.38</w:t>
      </w:r>
      <w:r>
        <w:rPr>
          <w:rFonts w:hint="eastAsia" w:hAnsi="Times New Roman" w:cs="Times New Roman"/>
          <w:sz w:val="21"/>
          <w:szCs w:val="22"/>
          <w:u w:val="none"/>
          <w:shd w:val="clear"/>
          <w:lang w:val="en-US" w:eastAsia="zh-CN" w:bidi="ar-SA"/>
        </w:rPr>
        <w:t xml:space="preserve"> </w:t>
      </w:r>
      <w:r>
        <w:rPr>
          <w:rFonts w:hint="eastAsia" w:ascii="宋体" w:hAnsi="Times New Roman" w:eastAsia="宋体" w:cs="Times New Roman"/>
          <w:sz w:val="21"/>
          <w:szCs w:val="22"/>
          <w:u w:val="none"/>
          <w:shd w:val="clear"/>
          <w:lang w:val="zh-TW" w:eastAsia="zh-TW" w:bidi="ar-SA"/>
        </w:rPr>
        <w:t>规定执行</w:t>
      </w:r>
      <w:r>
        <w:rPr>
          <w:rFonts w:hint="eastAsia" w:ascii="宋体" w:hAnsi="Times New Roman" w:eastAsia="宋体" w:cs="Times New Roman"/>
          <w:sz w:val="21"/>
          <w:szCs w:val="22"/>
          <w:u w:val="none"/>
          <w:shd w:val="clear"/>
          <w:lang w:val="zh-TW" w:eastAsia="zh-CN" w:bidi="ar-SA"/>
        </w:rPr>
        <w:t>。</w:t>
      </w:r>
    </w:p>
    <w:p>
      <w:pPr>
        <w:pStyle w:val="37"/>
        <w:spacing w:before="156" w:after="156"/>
        <w:ind w:left="0"/>
        <w:rPr>
          <w:rFonts w:hint="eastAsia"/>
        </w:rPr>
      </w:pPr>
      <w:r>
        <w:rPr>
          <w:rFonts w:hint="eastAsia"/>
          <w:lang w:eastAsia="zh-CN"/>
        </w:rPr>
        <w:t>溴氰菊酯</w:t>
      </w:r>
      <w:r>
        <w:rPr>
          <w:rFonts w:hint="eastAsia"/>
        </w:rPr>
        <w:t>的测定</w:t>
      </w:r>
    </w:p>
    <w:p>
      <w:pPr>
        <w:pStyle w:val="136"/>
        <w:keepNext w:val="0"/>
        <w:keepLines w:val="0"/>
        <w:widowControl w:val="0"/>
        <w:shd w:val="clear" w:color="auto" w:fill="auto"/>
        <w:bidi w:val="0"/>
        <w:spacing w:before="0" w:after="260" w:line="372" w:lineRule="exact"/>
        <w:ind w:left="0" w:right="0" w:firstLine="420"/>
        <w:jc w:val="left"/>
        <w:rPr>
          <w:rFonts w:hint="eastAsia" w:ascii="宋体" w:hAnsi="Times New Roman" w:eastAsia="宋体" w:cs="Times New Roman"/>
          <w:sz w:val="21"/>
          <w:szCs w:val="22"/>
          <w:u w:val="none"/>
          <w:shd w:val="clear"/>
          <w:lang w:val="en-US" w:eastAsia="zh-CN" w:bidi="ar-SA"/>
        </w:rPr>
      </w:pPr>
      <w:r>
        <w:rPr>
          <w:rFonts w:hint="eastAsia" w:ascii="宋体" w:hAnsi="Times New Roman" w:eastAsia="宋体" w:cs="Times New Roman"/>
          <w:sz w:val="21"/>
          <w:szCs w:val="22"/>
          <w:u w:val="none"/>
          <w:shd w:val="clear"/>
          <w:lang w:val="zh-TW" w:eastAsia="zh-TW" w:bidi="ar-SA"/>
        </w:rPr>
        <w:t>按GB/T 5009.146</w:t>
      </w:r>
      <w:r>
        <w:rPr>
          <w:rFonts w:hint="eastAsia" w:hAnsi="Times New Roman" w:cs="Times New Roman"/>
          <w:sz w:val="21"/>
          <w:szCs w:val="22"/>
          <w:u w:val="none"/>
          <w:shd w:val="clear"/>
          <w:lang w:val="en-US" w:eastAsia="zh-CN" w:bidi="ar-SA"/>
        </w:rPr>
        <w:t xml:space="preserve"> </w:t>
      </w:r>
      <w:r>
        <w:rPr>
          <w:rFonts w:hint="eastAsia" w:ascii="宋体" w:hAnsi="Times New Roman" w:eastAsia="宋体" w:cs="Times New Roman"/>
          <w:sz w:val="21"/>
          <w:szCs w:val="22"/>
          <w:u w:val="none"/>
          <w:shd w:val="clear"/>
          <w:lang w:val="zh-TW" w:eastAsia="zh-TW" w:bidi="ar-SA"/>
        </w:rPr>
        <w:t>规定执行</w:t>
      </w:r>
      <w:r>
        <w:rPr>
          <w:rFonts w:hint="eastAsia" w:ascii="宋体" w:hAnsi="Times New Roman" w:eastAsia="宋体" w:cs="Times New Roman"/>
          <w:sz w:val="21"/>
          <w:szCs w:val="22"/>
          <w:u w:val="none"/>
          <w:shd w:val="clear"/>
          <w:lang w:val="zh-TW" w:eastAsia="zh-CN" w:bidi="ar-SA"/>
        </w:rPr>
        <w:t>。</w:t>
      </w:r>
    </w:p>
    <w:p>
      <w:pPr>
        <w:pStyle w:val="38"/>
        <w:rPr>
          <w:rFonts w:hint="eastAsia"/>
        </w:rPr>
      </w:pPr>
      <w:bookmarkStart w:id="58" w:name="_Toc492975152"/>
      <w:bookmarkStart w:id="59" w:name="_Toc493060424"/>
      <w:bookmarkStart w:id="60" w:name="_Toc492975173"/>
      <w:r>
        <w:rPr>
          <w:rFonts w:hint="eastAsia"/>
        </w:rPr>
        <w:t>检验规则</w:t>
      </w:r>
      <w:bookmarkEnd w:id="58"/>
      <w:bookmarkEnd w:id="59"/>
      <w:bookmarkEnd w:id="60"/>
    </w:p>
    <w:p>
      <w:pPr>
        <w:pStyle w:val="36"/>
        <w:rPr>
          <w:rFonts w:hint="eastAsia"/>
        </w:rPr>
      </w:pPr>
      <w:bookmarkStart w:id="61" w:name="_Toc492975153"/>
      <w:r>
        <w:rPr>
          <w:rFonts w:hint="eastAsia"/>
        </w:rPr>
        <w:t>组批规则、抽样方法</w:t>
      </w:r>
      <w:bookmarkEnd w:id="61"/>
    </w:p>
    <w:p>
      <w:pPr>
        <w:pStyle w:val="20"/>
        <w:rPr>
          <w:rFonts w:hint="eastAsia" w:eastAsia="宋体"/>
          <w:lang w:eastAsia="zh-CN"/>
        </w:rPr>
      </w:pPr>
      <w:r>
        <w:rPr>
          <w:rFonts w:hint="eastAsia"/>
        </w:rPr>
        <w:t>按GB/T 8855</w:t>
      </w:r>
      <w:r>
        <w:rPr>
          <w:rFonts w:hint="eastAsia"/>
          <w:lang w:val="en-US" w:eastAsia="zh-CN"/>
        </w:rPr>
        <w:t xml:space="preserve"> </w:t>
      </w:r>
      <w:r>
        <w:rPr>
          <w:rFonts w:hint="eastAsia"/>
        </w:rPr>
        <w:t>规定执行</w:t>
      </w:r>
      <w:r>
        <w:rPr>
          <w:rFonts w:hint="eastAsia"/>
          <w:lang w:eastAsia="zh-CN"/>
        </w:rPr>
        <w:t>。</w:t>
      </w:r>
    </w:p>
    <w:p>
      <w:pPr>
        <w:pStyle w:val="36"/>
        <w:rPr>
          <w:rFonts w:hint="eastAsia"/>
        </w:rPr>
      </w:pPr>
      <w:bookmarkStart w:id="62" w:name="_Toc492975154"/>
      <w:r>
        <w:rPr>
          <w:rFonts w:hint="eastAsia"/>
        </w:rPr>
        <w:t>检验期限</w:t>
      </w:r>
      <w:bookmarkEnd w:id="62"/>
    </w:p>
    <w:p>
      <w:pPr>
        <w:pStyle w:val="20"/>
        <w:rPr>
          <w:rFonts w:hint="eastAsia"/>
        </w:rPr>
      </w:pPr>
      <w:r>
        <w:rPr>
          <w:rFonts w:hint="eastAsia"/>
        </w:rPr>
        <w:t>货到产地站台24h以内检验，货到目的地48h以内检验。</w:t>
      </w:r>
    </w:p>
    <w:p>
      <w:pPr>
        <w:pStyle w:val="36"/>
        <w:rPr>
          <w:rFonts w:hint="eastAsia"/>
        </w:rPr>
      </w:pPr>
      <w:bookmarkStart w:id="63" w:name="_Toc492975155"/>
      <w:r>
        <w:rPr>
          <w:rFonts w:hint="eastAsia"/>
        </w:rPr>
        <w:t>判定规则</w:t>
      </w:r>
      <w:bookmarkEnd w:id="63"/>
    </w:p>
    <w:p>
      <w:pPr>
        <w:ind w:firstLine="420" w:firstLineChars="200"/>
        <w:rPr>
          <w:rFonts w:ascii="宋体" w:hAnsi="宋体"/>
          <w:szCs w:val="21"/>
        </w:rPr>
      </w:pPr>
      <w:r>
        <w:rPr>
          <w:rFonts w:hint="eastAsia" w:ascii="宋体" w:hAnsi="宋体"/>
          <w:szCs w:val="21"/>
        </w:rPr>
        <w:t>按大小差异容许度来判定产品等级时，若容许度在某一等级要求范围内则判定为该等级产品，若容 许度不在本标准要求的等级范围内，则判定为不合格。感官指标和理化指标有一项不合格，允许加倍抽样复检，如仍有不合格即判为不合格产品。卫生指标有一项不合格即判为不合格产品。</w:t>
      </w:r>
    </w:p>
    <w:p>
      <w:pPr>
        <w:pStyle w:val="38"/>
        <w:rPr>
          <w:rFonts w:hint="eastAsia"/>
        </w:rPr>
      </w:pPr>
      <w:bookmarkStart w:id="64" w:name="_Toc492975157"/>
      <w:bookmarkStart w:id="65" w:name="_Toc492975174"/>
      <w:bookmarkStart w:id="66" w:name="_Toc493060425"/>
      <w:r>
        <w:rPr>
          <w:rFonts w:hint="eastAsia"/>
        </w:rPr>
        <w:t>标志、包装、运输、贮存</w:t>
      </w:r>
      <w:bookmarkEnd w:id="64"/>
      <w:bookmarkEnd w:id="65"/>
      <w:bookmarkEnd w:id="66"/>
    </w:p>
    <w:p>
      <w:pPr>
        <w:pStyle w:val="36"/>
        <w:rPr>
          <w:rFonts w:hint="eastAsia"/>
        </w:rPr>
      </w:pPr>
      <w:bookmarkStart w:id="67" w:name="_Toc492975158"/>
      <w:r>
        <w:rPr>
          <w:rFonts w:hint="eastAsia"/>
          <w:lang w:eastAsia="zh-CN"/>
        </w:rPr>
        <w:t>标志</w:t>
      </w:r>
      <w:bookmarkEnd w:id="67"/>
    </w:p>
    <w:p>
      <w:pPr>
        <w:pStyle w:val="20"/>
        <w:rPr>
          <w:rFonts w:hint="eastAsia"/>
        </w:rPr>
      </w:pPr>
      <w:r>
        <w:rPr>
          <w:rFonts w:hint="eastAsia"/>
        </w:rPr>
        <w:t>产品包装应符合GB/T 191</w:t>
      </w:r>
      <w:r>
        <w:rPr>
          <w:rFonts w:hint="eastAsia"/>
          <w:lang w:val="en-US" w:eastAsia="zh-CN"/>
        </w:rPr>
        <w:t xml:space="preserve"> </w:t>
      </w:r>
      <w:r>
        <w:rPr>
          <w:rFonts w:hint="eastAsia"/>
        </w:rPr>
        <w:t>的要求，并且标明下列内容：</w:t>
      </w:r>
    </w:p>
    <w:p>
      <w:pPr>
        <w:pStyle w:val="20"/>
        <w:rPr>
          <w:rFonts w:hint="eastAsia"/>
        </w:rPr>
      </w:pPr>
      <w:r>
        <w:rPr>
          <w:rFonts w:hint="eastAsia"/>
        </w:rPr>
        <w:t>a）产品的名称、产品标准编号、商标；</w:t>
      </w:r>
    </w:p>
    <w:p>
      <w:pPr>
        <w:pStyle w:val="20"/>
        <w:rPr>
          <w:rFonts w:hint="eastAsia"/>
        </w:rPr>
      </w:pPr>
      <w:r>
        <w:rPr>
          <w:rFonts w:hint="eastAsia"/>
        </w:rPr>
        <w:t>b）生产单位（或批发商或出口商）名称，详细地址；</w:t>
      </w:r>
    </w:p>
    <w:p>
      <w:pPr>
        <w:pStyle w:val="20"/>
        <w:rPr>
          <w:rFonts w:hint="eastAsia"/>
        </w:rPr>
      </w:pPr>
      <w:r>
        <w:rPr>
          <w:rFonts w:hint="eastAsia"/>
        </w:rPr>
        <w:t>c）质量等级；</w:t>
      </w:r>
    </w:p>
    <w:p>
      <w:pPr>
        <w:pStyle w:val="20"/>
        <w:rPr>
          <w:rFonts w:hint="eastAsia"/>
        </w:rPr>
      </w:pPr>
      <w:r>
        <w:rPr>
          <w:rFonts w:hint="eastAsia"/>
        </w:rPr>
        <w:t>d）净含量；</w:t>
      </w:r>
    </w:p>
    <w:p>
      <w:pPr>
        <w:pStyle w:val="20"/>
        <w:rPr>
          <w:rFonts w:hint="eastAsia"/>
        </w:rPr>
      </w:pPr>
      <w:r>
        <w:rPr>
          <w:rFonts w:hint="eastAsia"/>
        </w:rPr>
        <w:t>e）釆收及发货日期。</w:t>
      </w:r>
    </w:p>
    <w:p>
      <w:pPr>
        <w:pStyle w:val="20"/>
        <w:rPr>
          <w:rFonts w:hint="eastAsia"/>
        </w:rPr>
      </w:pPr>
      <w:r>
        <w:rPr>
          <w:rFonts w:hint="eastAsia"/>
        </w:rPr>
        <w:t>企业获得批准，可在其合格产品包装上使用地理标志产品专用标志。未经批准或不符合本标准的产品，其产品包装上不得使用地理标志产品专用标志。</w:t>
      </w:r>
    </w:p>
    <w:p>
      <w:pPr>
        <w:pStyle w:val="36"/>
        <w:rPr>
          <w:rFonts w:hint="eastAsia"/>
        </w:rPr>
      </w:pPr>
      <w:bookmarkStart w:id="68" w:name="_Toc492975159"/>
      <w:r>
        <w:rPr>
          <w:rFonts w:hint="eastAsia"/>
          <w:lang w:eastAsia="zh-CN"/>
        </w:rPr>
        <w:t>包装</w:t>
      </w:r>
      <w:bookmarkEnd w:id="68"/>
    </w:p>
    <w:p>
      <w:pPr>
        <w:pStyle w:val="37"/>
        <w:spacing w:before="156" w:after="156"/>
        <w:ind w:left="0"/>
        <w:rPr>
          <w:rFonts w:hint="eastAsia" w:ascii="宋体" w:hAnsi="宋体" w:eastAsia="宋体"/>
        </w:rPr>
      </w:pPr>
      <w:r>
        <w:rPr>
          <w:rFonts w:hint="eastAsia" w:ascii="黑体" w:eastAsia="黑体"/>
          <w:sz w:val="21"/>
          <w:szCs w:val="21"/>
          <w:lang w:val="zh-TW" w:eastAsia="zh-TW" w:bidi="ar-SA"/>
        </w:rPr>
        <w:t>瓦楞纸箱</w:t>
      </w:r>
    </w:p>
    <w:p>
      <w:pPr>
        <w:pStyle w:val="37"/>
        <w:numPr>
          <w:ilvl w:val="2"/>
          <w:numId w:val="0"/>
        </w:numPr>
        <w:spacing w:before="156" w:after="156"/>
        <w:ind w:leftChars="0" w:firstLine="420" w:firstLineChars="200"/>
        <w:rPr>
          <w:rFonts w:hint="eastAsia" w:ascii="宋体" w:hAnsi="宋体" w:eastAsia="宋体"/>
        </w:rPr>
      </w:pPr>
      <w:r>
        <w:rPr>
          <w:rFonts w:hint="eastAsia" w:ascii="宋体" w:hAnsi="宋体" w:eastAsia="宋体"/>
        </w:rPr>
        <w:t>按GB/T 6543</w:t>
      </w:r>
      <w:r>
        <w:rPr>
          <w:rFonts w:hint="eastAsia" w:ascii="宋体" w:hAnsi="宋体" w:eastAsia="宋体"/>
          <w:lang w:val="en-US" w:eastAsia="zh-CN"/>
        </w:rPr>
        <w:t xml:space="preserve"> </w:t>
      </w:r>
      <w:r>
        <w:rPr>
          <w:rFonts w:hint="eastAsia" w:ascii="宋体" w:hAnsi="宋体" w:eastAsia="宋体"/>
        </w:rPr>
        <w:t>规定执行。</w:t>
      </w:r>
    </w:p>
    <w:p>
      <w:pPr>
        <w:pStyle w:val="37"/>
        <w:spacing w:before="156" w:after="156"/>
        <w:ind w:left="0"/>
        <w:rPr>
          <w:rFonts w:hint="eastAsia" w:ascii="黑体" w:eastAsia="黑体"/>
          <w:sz w:val="21"/>
          <w:szCs w:val="21"/>
          <w:lang w:val="zh-TW" w:eastAsia="zh-TW" w:bidi="ar-SA"/>
        </w:rPr>
      </w:pPr>
      <w:r>
        <w:rPr>
          <w:rFonts w:hint="eastAsia" w:ascii="黑体" w:eastAsia="黑体"/>
          <w:sz w:val="21"/>
          <w:szCs w:val="21"/>
          <w:lang w:val="zh-TW" w:eastAsia="zh-TW" w:bidi="ar-SA"/>
        </w:rPr>
        <w:t>净重</w:t>
      </w:r>
    </w:p>
    <w:p>
      <w:pPr>
        <w:pStyle w:val="37"/>
        <w:numPr>
          <w:ilvl w:val="2"/>
          <w:numId w:val="0"/>
        </w:numPr>
        <w:spacing w:before="156" w:after="156"/>
        <w:ind w:leftChars="0" w:firstLine="420" w:firstLineChars="200"/>
        <w:rPr>
          <w:rFonts w:hint="eastAsia" w:ascii="宋体" w:hAnsi="宋体" w:eastAsia="宋体"/>
          <w:lang w:eastAsia="zh-CN"/>
        </w:rPr>
      </w:pPr>
      <w:r>
        <w:rPr>
          <w:rFonts w:hint="eastAsia" w:ascii="宋体" w:hAnsi="宋体" w:eastAsia="宋体"/>
        </w:rPr>
        <w:t>按GB/T 13607</w:t>
      </w:r>
      <w:r>
        <w:rPr>
          <w:rFonts w:hint="eastAsia" w:ascii="宋体" w:hAnsi="宋体" w:eastAsia="宋体"/>
          <w:lang w:val="en-US" w:eastAsia="zh-CN"/>
        </w:rPr>
        <w:t xml:space="preserve"> </w:t>
      </w:r>
      <w:r>
        <w:rPr>
          <w:rFonts w:hint="eastAsia" w:ascii="宋体" w:hAnsi="宋体" w:eastAsia="宋体"/>
        </w:rPr>
        <w:t>规定执行，每箱净重不超过20kg</w:t>
      </w:r>
      <w:r>
        <w:rPr>
          <w:rFonts w:hint="eastAsia" w:ascii="宋体" w:hAnsi="宋体" w:eastAsia="宋体"/>
          <w:lang w:eastAsia="zh-CN"/>
        </w:rPr>
        <w:t>。</w:t>
      </w:r>
    </w:p>
    <w:p>
      <w:pPr>
        <w:pStyle w:val="36"/>
        <w:rPr>
          <w:rFonts w:hint="eastAsia"/>
        </w:rPr>
      </w:pPr>
      <w:bookmarkStart w:id="69" w:name="_Toc492975160"/>
      <w:r>
        <w:rPr>
          <w:rFonts w:hint="eastAsia"/>
        </w:rPr>
        <w:t>运输</w:t>
      </w:r>
      <w:bookmarkEnd w:id="69"/>
    </w:p>
    <w:p>
      <w:pPr>
        <w:pStyle w:val="20"/>
        <w:rPr>
          <w:rFonts w:hint="eastAsia"/>
        </w:rPr>
      </w:pPr>
      <w:r>
        <w:rPr>
          <w:rFonts w:hint="eastAsia"/>
        </w:rPr>
        <w:t>按</w:t>
      </w:r>
      <w:r>
        <w:t xml:space="preserve">NY/T </w:t>
      </w:r>
      <w:r>
        <w:rPr>
          <w:rFonts w:hint="eastAsia"/>
        </w:rPr>
        <w:t>1530</w:t>
      </w:r>
      <w:r>
        <w:rPr>
          <w:rFonts w:hint="eastAsia"/>
          <w:lang w:val="en-US" w:eastAsia="zh-CN"/>
        </w:rPr>
        <w:t xml:space="preserve"> </w:t>
      </w:r>
      <w:r>
        <w:rPr>
          <w:rFonts w:hint="eastAsia"/>
        </w:rPr>
        <w:t>规定执行。</w:t>
      </w:r>
    </w:p>
    <w:p>
      <w:pPr>
        <w:pStyle w:val="37"/>
        <w:spacing w:before="156" w:after="156"/>
        <w:ind w:left="0"/>
        <w:rPr>
          <w:rFonts w:hint="eastAsia" w:ascii="宋体" w:hAnsi="宋体" w:eastAsia="宋体"/>
        </w:rPr>
      </w:pPr>
      <w:r>
        <w:rPr>
          <w:rFonts w:hint="eastAsia"/>
          <w:sz w:val="21"/>
          <w:szCs w:val="21"/>
          <w:lang w:val="zh-TW" w:eastAsia="zh-CN" w:bidi="ar-SA"/>
        </w:rPr>
        <w:t>运输要求</w:t>
      </w:r>
    </w:p>
    <w:p>
      <w:pPr>
        <w:pStyle w:val="37"/>
        <w:numPr>
          <w:ilvl w:val="2"/>
          <w:numId w:val="0"/>
        </w:numPr>
        <w:spacing w:before="156" w:after="156"/>
        <w:ind w:leftChars="0" w:firstLine="420" w:firstLineChars="200"/>
        <w:rPr>
          <w:rFonts w:hint="eastAsia" w:ascii="宋体" w:hAnsi="宋体" w:eastAsia="宋体"/>
        </w:rPr>
      </w:pPr>
      <w:r>
        <w:rPr>
          <w:rFonts w:hint="eastAsia" w:ascii="宋体" w:hAnsi="宋体" w:eastAsia="宋体"/>
        </w:rPr>
        <w:t>要求便捷，轻装轻卸，空气流通，防止日晒雨淋、受潮、虫蛀、鼠咬。</w:t>
      </w:r>
    </w:p>
    <w:p>
      <w:pPr>
        <w:pStyle w:val="37"/>
        <w:spacing w:before="156" w:after="156"/>
        <w:ind w:left="0"/>
        <w:rPr>
          <w:rFonts w:hint="eastAsia" w:ascii="宋体" w:hAnsi="宋体" w:eastAsia="宋体"/>
        </w:rPr>
      </w:pPr>
      <w:r>
        <w:rPr>
          <w:rFonts w:hint="eastAsia"/>
          <w:sz w:val="21"/>
          <w:szCs w:val="21"/>
          <w:lang w:val="zh-TW" w:eastAsia="zh-CN" w:bidi="ar-SA"/>
        </w:rPr>
        <w:t>运输工具</w:t>
      </w:r>
    </w:p>
    <w:p>
      <w:pPr>
        <w:pStyle w:val="37"/>
        <w:numPr>
          <w:ilvl w:val="2"/>
          <w:numId w:val="0"/>
        </w:numPr>
        <w:spacing w:before="156" w:after="156"/>
        <w:ind w:leftChars="0" w:firstLine="420" w:firstLineChars="200"/>
        <w:rPr>
          <w:rFonts w:hint="eastAsia"/>
        </w:rPr>
      </w:pPr>
      <w:r>
        <w:rPr>
          <w:rFonts w:hint="eastAsia" w:ascii="宋体" w:hAnsi="宋体" w:eastAsia="宋体"/>
        </w:rPr>
        <w:t>装运舱应清洁、干燥、卫生、无污染。远运需具控温设施、防冻伤。</w:t>
      </w:r>
    </w:p>
    <w:p>
      <w:pPr>
        <w:pStyle w:val="36"/>
        <w:rPr>
          <w:rFonts w:hint="eastAsia"/>
        </w:rPr>
      </w:pPr>
      <w:bookmarkStart w:id="70" w:name="_Toc492975161"/>
      <w:r>
        <w:rPr>
          <w:rFonts w:hint="eastAsia"/>
        </w:rPr>
        <w:t>贮存</w:t>
      </w:r>
      <w:bookmarkEnd w:id="70"/>
    </w:p>
    <w:p>
      <w:pPr>
        <w:pStyle w:val="20"/>
        <w:rPr>
          <w:rFonts w:hint="eastAsia"/>
        </w:rPr>
      </w:pPr>
      <w:r>
        <w:rPr>
          <w:rFonts w:hint="eastAsia"/>
        </w:rPr>
        <w:t>按照NY/T 1189</w:t>
      </w:r>
      <w:r>
        <w:rPr>
          <w:rFonts w:hint="eastAsia"/>
          <w:lang w:val="en-US" w:eastAsia="zh-CN"/>
        </w:rPr>
        <w:t xml:space="preserve"> </w:t>
      </w:r>
      <w:r>
        <w:rPr>
          <w:rFonts w:hint="eastAsia"/>
        </w:rPr>
        <w:t>规定执行。</w:t>
      </w:r>
    </w:p>
    <w:p>
      <w:pPr>
        <w:pStyle w:val="20"/>
        <w:rPr>
          <w:rFonts w:hint="eastAsia"/>
        </w:rPr>
      </w:pPr>
    </w:p>
    <w:p>
      <w:pPr>
        <w:pStyle w:val="20"/>
        <w:ind w:left="0" w:leftChars="0" w:firstLine="0" w:firstLineChars="0"/>
        <w:rPr>
          <w:rFonts w:hint="eastAsia"/>
        </w:rPr>
      </w:pPr>
    </w:p>
    <w:p>
      <w:pPr>
        <w:pStyle w:val="80"/>
        <w:rPr>
          <w:rFonts w:hint="eastAsia"/>
        </w:rPr>
      </w:pPr>
      <w:r>
        <w:br w:type="textWrapping"/>
      </w:r>
      <w:bookmarkStart w:id="71" w:name="_Toc492975162"/>
      <w:bookmarkStart w:id="72" w:name="_Toc492975175"/>
      <w:bookmarkStart w:id="73" w:name="_Toc493060426"/>
      <w:r>
        <w:rPr>
          <w:rFonts w:hint="eastAsia"/>
        </w:rPr>
        <w:t>（规范性附录）</w:t>
      </w:r>
      <w:r>
        <w:br w:type="textWrapping"/>
      </w:r>
      <w:r>
        <w:rPr>
          <w:rFonts w:hint="eastAsia"/>
        </w:rPr>
        <w:t>南盛沙糖桔地理标志产品保护范围图</w:t>
      </w:r>
      <w:bookmarkEnd w:id="71"/>
      <w:bookmarkEnd w:id="72"/>
      <w:bookmarkEnd w:id="73"/>
    </w:p>
    <w:p>
      <w:pPr>
        <w:pStyle w:val="136"/>
        <w:keepNext w:val="0"/>
        <w:keepLines w:val="0"/>
        <w:widowControl w:val="0"/>
        <w:shd w:val="clear" w:color="auto" w:fill="auto"/>
        <w:bidi w:val="0"/>
        <w:spacing w:before="0" w:line="240" w:lineRule="auto"/>
        <w:ind w:left="0" w:right="0" w:firstLine="0"/>
        <w:jc w:val="center"/>
        <w:rPr>
          <w:rFonts w:hint="eastAsia" w:ascii="宋体" w:hAnsi="宋体" w:eastAsia="宋体" w:cs="Times New Roman"/>
          <w:sz w:val="21"/>
          <w:szCs w:val="21"/>
          <w:u w:val="none"/>
          <w:shd w:val="clear"/>
          <w:lang w:val="en-US" w:eastAsia="zh-CN" w:bidi="ar-SA"/>
        </w:rPr>
      </w:pPr>
      <w:r>
        <w:rPr>
          <w:rFonts w:hint="eastAsia" w:ascii="宋体" w:hAnsi="宋体" w:eastAsia="宋体" w:cs="Times New Roman"/>
          <w:sz w:val="21"/>
          <w:szCs w:val="21"/>
          <w:u w:val="none"/>
          <w:shd w:val="clear"/>
          <w:lang w:val="en-US" w:eastAsia="zh-CN" w:bidi="ar-SA"/>
        </w:rPr>
        <w:t>南盛沙糖桔地理标志产品保护范围见图</w:t>
      </w:r>
      <w:r>
        <w:rPr>
          <w:rFonts w:hint="eastAsia" w:ascii="宋体" w:hAnsi="宋体" w:eastAsia="宋体" w:cs="Times New Roman"/>
          <w:sz w:val="21"/>
          <w:szCs w:val="21"/>
          <w:u w:val="none"/>
          <w:shd w:val="clear"/>
          <w:lang w:val="en-US" w:eastAsia="en-US" w:bidi="ar-SA"/>
        </w:rPr>
        <w:t>A.</w:t>
      </w:r>
      <w:r>
        <w:rPr>
          <w:rFonts w:hint="eastAsia" w:ascii="宋体" w:hAnsi="宋体" w:eastAsia="宋体" w:cs="Times New Roman"/>
          <w:sz w:val="21"/>
          <w:szCs w:val="21"/>
          <w:u w:val="none"/>
          <w:shd w:val="clear"/>
          <w:lang w:val="en-US" w:eastAsia="zh-CN" w:bidi="ar-SA"/>
        </w:rPr>
        <w:t>1中南盛镇及前锋镇区域</w:t>
      </w:r>
      <w:r>
        <w:rPr>
          <w:rFonts w:hint="eastAsia" w:cs="Times New Roman"/>
          <w:sz w:val="21"/>
          <w:szCs w:val="21"/>
          <w:u w:val="none"/>
          <w:shd w:val="clear"/>
          <w:lang w:val="en-US" w:eastAsia="zh-CN" w:bidi="ar-SA"/>
        </w:rPr>
        <w:t>及图B.1中</w:t>
      </w:r>
      <w:r>
        <w:rPr>
          <w:rFonts w:hint="eastAsia"/>
          <w:lang w:eastAsia="zh-CN"/>
        </w:rPr>
        <w:t>云安区（除都杨镇）区域</w:t>
      </w:r>
      <w:r>
        <w:rPr>
          <w:rFonts w:hint="eastAsia" w:ascii="宋体" w:hAnsi="宋体" w:eastAsia="宋体" w:cs="Times New Roman"/>
          <w:sz w:val="21"/>
          <w:szCs w:val="21"/>
          <w:u w:val="none"/>
          <w:shd w:val="clear"/>
          <w:lang w:val="en-US" w:eastAsia="zh-CN" w:bidi="ar-SA"/>
        </w:rPr>
        <w:t>。</w:t>
      </w:r>
    </w:p>
    <w:p>
      <w:pPr>
        <w:pStyle w:val="20"/>
        <w:ind w:left="0" w:leftChars="0" w:firstLine="0" w:firstLineChars="0"/>
        <w:jc w:val="center"/>
        <w:rPr>
          <w:rFonts w:hint="eastAsia" w:ascii="Times New Roman" w:hAnsi="Times New Roman" w:cs="Times New Roman"/>
          <w:color w:val="000000"/>
          <w:spacing w:val="0"/>
          <w:w w:val="100"/>
          <w:position w:val="0"/>
          <w:lang w:val="en-US" w:eastAsia="zh-CN" w:bidi="en-US"/>
        </w:rPr>
      </w:pPr>
      <w:r>
        <w:rPr>
          <w:rFonts w:hint="eastAsia" w:ascii="Times New Roman" w:hAnsi="Times New Roman" w:cs="Times New Roman"/>
          <w:color w:val="000000"/>
          <w:spacing w:val="0"/>
          <w:w w:val="100"/>
          <w:position w:val="0"/>
          <w:lang w:val="en-US" w:eastAsia="zh-CN" w:bidi="en-US"/>
        </w:rPr>
        <w:pict>
          <v:shape id="_x0000_i1031" o:spt="75" alt="云浮市云城区" type="#_x0000_t75" style="height:540.45pt;width:391.2pt;" filled="f" o:preferrelative="t" stroked="f" coordsize="21600,21600">
            <v:path/>
            <v:fill on="f" focussize="0,0"/>
            <v:stroke on="f"/>
            <v:imagedata r:id="rId12" o:title="云浮市云城区"/>
            <o:lock v:ext="edit" aspectratio="t"/>
            <w10:wrap type="none"/>
            <w10:anchorlock/>
          </v:shape>
        </w:pict>
      </w:r>
    </w:p>
    <w:p>
      <w:pPr>
        <w:pStyle w:val="20"/>
        <w:ind w:left="0" w:leftChars="0" w:firstLine="0" w:firstLineChars="0"/>
        <w:jc w:val="center"/>
        <w:rPr>
          <w:rFonts w:hint="eastAsia" w:ascii="Times New Roman" w:hAnsi="Times New Roman" w:cs="Times New Roman"/>
          <w:color w:val="000000"/>
          <w:spacing w:val="0"/>
          <w:w w:val="100"/>
          <w:position w:val="0"/>
          <w:lang w:val="en-US" w:eastAsia="zh-CN" w:bidi="en-US"/>
        </w:rPr>
      </w:pPr>
      <w:r>
        <w:rPr>
          <w:rFonts w:hint="eastAsia" w:ascii="宋体" w:hAnsi="宋体" w:eastAsia="宋体" w:cs="Times New Roman"/>
          <w:sz w:val="21"/>
          <w:szCs w:val="21"/>
          <w:u w:val="none"/>
          <w:shd w:val="clear"/>
          <w:lang w:val="en-US" w:eastAsia="zh-CN" w:bidi="ar-SA"/>
        </w:rPr>
        <w:t>图</w:t>
      </w:r>
      <w:r>
        <w:rPr>
          <w:rFonts w:hint="eastAsia" w:ascii="宋体" w:hAnsi="宋体" w:eastAsia="宋体" w:cs="Times New Roman"/>
          <w:sz w:val="21"/>
          <w:szCs w:val="21"/>
          <w:u w:val="none"/>
          <w:shd w:val="clear"/>
          <w:lang w:val="en-US" w:eastAsia="en-US" w:bidi="ar-SA"/>
        </w:rPr>
        <w:t>A.</w:t>
      </w:r>
      <w:r>
        <w:rPr>
          <w:rFonts w:hint="eastAsia" w:ascii="宋体" w:hAnsi="宋体" w:eastAsia="宋体" w:cs="Times New Roman"/>
          <w:sz w:val="21"/>
          <w:szCs w:val="21"/>
          <w:u w:val="none"/>
          <w:shd w:val="clear"/>
          <w:lang w:val="en-US" w:eastAsia="zh-CN" w:bidi="ar-SA"/>
        </w:rPr>
        <w:t>1</w:t>
      </w:r>
    </w:p>
    <w:p>
      <w:pPr>
        <w:pStyle w:val="20"/>
        <w:ind w:left="0" w:leftChars="0" w:firstLine="0" w:firstLineChars="0"/>
        <w:jc w:val="center"/>
        <w:rPr>
          <w:rFonts w:hint="eastAsia" w:ascii="Times New Roman" w:hAnsi="Times New Roman" w:cs="Times New Roman"/>
          <w:color w:val="000000"/>
          <w:spacing w:val="0"/>
          <w:w w:val="100"/>
          <w:position w:val="0"/>
          <w:lang w:val="en-US" w:eastAsia="zh-CN" w:bidi="en-US"/>
        </w:rPr>
      </w:pPr>
      <w:r>
        <w:rPr>
          <w:rFonts w:hint="eastAsia" w:ascii="Times New Roman" w:hAnsi="Times New Roman" w:cs="Times New Roman"/>
          <w:color w:val="000000"/>
          <w:spacing w:val="0"/>
          <w:w w:val="100"/>
          <w:position w:val="0"/>
          <w:lang w:val="en-US" w:eastAsia="zh-CN" w:bidi="en-US"/>
        </w:rPr>
        <w:pict>
          <v:shape id="_x0000_i1030" o:spt="75" alt="云浮市云安区" type="#_x0000_t75" style="height:555.1pt;width:401.85pt;" filled="f" o:preferrelative="t" stroked="f" coordsize="21600,21600">
            <v:path/>
            <v:fill on="f" focussize="0,0"/>
            <v:stroke on="f"/>
            <v:imagedata r:id="rId13" o:title="云浮市云安区"/>
            <o:lock v:ext="edit" aspectratio="t"/>
            <w10:wrap type="none"/>
            <w10:anchorlock/>
          </v:shape>
        </w:pict>
      </w:r>
    </w:p>
    <w:p>
      <w:pPr>
        <w:pStyle w:val="20"/>
        <w:ind w:left="0" w:leftChars="0" w:firstLine="0" w:firstLineChars="0"/>
        <w:jc w:val="center"/>
        <w:rPr>
          <w:rFonts w:hint="eastAsia" w:ascii="Times New Roman" w:hAnsi="Times New Roman" w:cs="Times New Roman"/>
          <w:color w:val="000000"/>
          <w:spacing w:val="0"/>
          <w:w w:val="100"/>
          <w:position w:val="0"/>
          <w:lang w:val="en-US" w:eastAsia="zh-CN" w:bidi="en-US"/>
        </w:rPr>
      </w:pPr>
      <w:r>
        <w:rPr>
          <w:rFonts w:hint="eastAsia" w:cs="Times New Roman"/>
          <w:sz w:val="21"/>
          <w:szCs w:val="21"/>
          <w:u w:val="none"/>
          <w:shd w:val="clear"/>
          <w:lang w:val="en-US" w:eastAsia="zh-CN" w:bidi="ar-SA"/>
        </w:rPr>
        <w:t>图B.1</w:t>
      </w:r>
    </w:p>
    <w:p>
      <w:pPr>
        <w:pStyle w:val="82"/>
        <w:numPr>
          <w:numId w:val="0"/>
        </w:numPr>
        <w:ind w:left="363" w:leftChars="0"/>
        <w:jc w:val="both"/>
        <w:rPr>
          <w:rFonts w:hint="eastAsia"/>
        </w:rPr>
      </w:pPr>
    </w:p>
    <w:sectPr>
      <w:pgSz w:w="11906" w:h="16838"/>
      <w:pgMar w:top="567" w:right="1134" w:bottom="1134" w:left="1418" w:header="1418" w:footer="1134" w:gutter="0"/>
      <w:pgNumType w:start="1"/>
      <w:cols w:space="720" w:num="1"/>
      <w:formProt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S Gothic">
    <w:panose1 w:val="020B0609070205080204"/>
    <w:charset w:val="80"/>
    <w:family w:val="modern"/>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pPr>
    <w:r>
      <w:fldChar w:fldCharType="begin"/>
    </w:r>
    <w:r>
      <w:instrText xml:space="preserve"> PAGE  \* MERGEFORMAT </w:instrText>
    </w:r>
    <w:r>
      <w:fldChar w:fldCharType="separate"/>
    </w:r>
    <w:r>
      <w:t>7</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9"/>
    </w:pPr>
    <w:r>
      <w:t>DB44/ T—XXXX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9102AD"/>
    <w:multiLevelType w:val="multilevel"/>
    <w:tmpl w:val="079102AD"/>
    <w:lvl w:ilvl="0" w:tentative="0">
      <w:start w:val="1"/>
      <w:numFmt w:val="decimal"/>
      <w:pStyle w:val="65"/>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93C6778"/>
    <w:multiLevelType w:val="multilevel"/>
    <w:tmpl w:val="093C6778"/>
    <w:lvl w:ilvl="0" w:tentative="0">
      <w:start w:val="1"/>
      <w:numFmt w:val="decimal"/>
      <w:pStyle w:val="110"/>
      <w:suff w:val="nothing"/>
      <w:lvlText w:val="示例%1："/>
      <w:lvlJc w:val="left"/>
      <w:pPr>
        <w:ind w:left="0" w:firstLine="397"/>
      </w:pPr>
      <w:rPr>
        <w:rFonts w:hint="eastAsia" w:ascii="黑体" w:eastAsia="黑体"/>
        <w:sz w:val="18"/>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
    <w:nsid w:val="0AE367E9"/>
    <w:multiLevelType w:val="multilevel"/>
    <w:tmpl w:val="0AE367E9"/>
    <w:lvl w:ilvl="0" w:tentative="0">
      <w:start w:val="1"/>
      <w:numFmt w:val="none"/>
      <w:pStyle w:val="60"/>
      <w:suff w:val="nothing"/>
      <w:lvlText w:val="%1示例："/>
      <w:lvlJc w:val="left"/>
      <w:pPr>
        <w:ind w:left="0" w:firstLine="363"/>
      </w:pPr>
      <w:rPr>
        <w:rFonts w:hint="eastAsia" w:ascii="黑体" w:eastAsia="黑体"/>
        <w:b w:val="0"/>
        <w:i w:val="0"/>
        <w:sz w:val="18"/>
        <w:szCs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3">
    <w:nsid w:val="0DDE2B46"/>
    <w:multiLevelType w:val="multilevel"/>
    <w:tmpl w:val="0DDE2B46"/>
    <w:lvl w:ilvl="0" w:tentative="0">
      <w:start w:val="1"/>
      <w:numFmt w:val="lowerLetter"/>
      <w:pStyle w:val="114"/>
      <w:suff w:val="nothing"/>
      <w:lvlText w:val="%1   "/>
      <w:lvlJc w:val="left"/>
      <w:pPr>
        <w:ind w:left="544" w:hanging="181"/>
      </w:pPr>
      <w:rPr>
        <w:rFonts w:hint="eastAsia" w:asci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4">
    <w:nsid w:val="1DBF583A"/>
    <w:multiLevelType w:val="multilevel"/>
    <w:tmpl w:val="1DBF583A"/>
    <w:lvl w:ilvl="0" w:tentative="0">
      <w:start w:val="1"/>
      <w:numFmt w:val="decimal"/>
      <w:pStyle w:val="70"/>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5">
    <w:nsid w:val="1FC91163"/>
    <w:multiLevelType w:val="multilevel"/>
    <w:tmpl w:val="1FC91163"/>
    <w:lvl w:ilvl="0" w:tentative="0">
      <w:start w:val="1"/>
      <w:numFmt w:val="decimal"/>
      <w:pStyle w:val="38"/>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36"/>
      <w:suff w:val="nothing"/>
      <w:lvlText w:val="%1.%2　"/>
      <w:lvlJc w:val="left"/>
      <w:pPr>
        <w:ind w:left="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37"/>
      <w:suff w:val="nothing"/>
      <w:lvlText w:val="%1.%2.%3　"/>
      <w:lvlJc w:val="left"/>
      <w:pPr>
        <w:ind w:left="1470" w:firstLine="0"/>
      </w:pPr>
      <w:rPr>
        <w:rFonts w:hint="eastAsia" w:ascii="黑体" w:hAnsi="Times New Roman" w:eastAsia="黑体"/>
        <w:b w:val="0"/>
        <w:i w:val="0"/>
        <w:sz w:val="21"/>
      </w:rPr>
    </w:lvl>
    <w:lvl w:ilvl="3" w:tentative="0">
      <w:start w:val="1"/>
      <w:numFmt w:val="decimal"/>
      <w:pStyle w:val="41"/>
      <w:suff w:val="nothing"/>
      <w:lvlText w:val="%1.%2.%3.%4　"/>
      <w:lvlJc w:val="left"/>
      <w:pPr>
        <w:ind w:left="0" w:firstLine="0"/>
      </w:pPr>
      <w:rPr>
        <w:rFonts w:hint="eastAsia" w:ascii="黑体" w:hAnsi="Times New Roman" w:eastAsia="黑体"/>
        <w:b w:val="0"/>
        <w:i w:val="0"/>
        <w:sz w:val="21"/>
      </w:rPr>
    </w:lvl>
    <w:lvl w:ilvl="4" w:tentative="0">
      <w:start w:val="1"/>
      <w:numFmt w:val="decimal"/>
      <w:pStyle w:val="40"/>
      <w:suff w:val="nothing"/>
      <w:lvlText w:val="%1.%2.%3.%4.%5　"/>
      <w:lvlJc w:val="left"/>
      <w:pPr>
        <w:ind w:left="0" w:firstLine="0"/>
      </w:pPr>
      <w:rPr>
        <w:rFonts w:hint="eastAsia" w:ascii="黑体" w:hAnsi="Times New Roman" w:eastAsia="黑体"/>
        <w:b w:val="0"/>
        <w:i w:val="0"/>
        <w:sz w:val="21"/>
      </w:rPr>
    </w:lvl>
    <w:lvl w:ilvl="5" w:tentative="0">
      <w:start w:val="1"/>
      <w:numFmt w:val="decimal"/>
      <w:pStyle w:val="48"/>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2A8F7113"/>
    <w:multiLevelType w:val="multilevel"/>
    <w:tmpl w:val="2A8F7113"/>
    <w:lvl w:ilvl="0" w:tentative="0">
      <w:start w:val="1"/>
      <w:numFmt w:val="upperLetter"/>
      <w:pStyle w:val="95"/>
      <w:suff w:val="space"/>
      <w:lvlText w:val="%1"/>
      <w:lvlJc w:val="left"/>
      <w:pPr>
        <w:ind w:left="623" w:hanging="425"/>
      </w:pPr>
      <w:rPr>
        <w:rFonts w:hint="eastAsia"/>
      </w:rPr>
    </w:lvl>
    <w:lvl w:ilvl="1" w:tentative="0">
      <w:start w:val="1"/>
      <w:numFmt w:val="decimal"/>
      <w:pStyle w:val="96"/>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7">
    <w:nsid w:val="2C5917C3"/>
    <w:multiLevelType w:val="multilevel"/>
    <w:tmpl w:val="2C5917C3"/>
    <w:lvl w:ilvl="0" w:tentative="0">
      <w:start w:val="1"/>
      <w:numFmt w:val="none"/>
      <w:pStyle w:val="58"/>
      <w:suff w:val="nothing"/>
      <w:lvlText w:val="%1——"/>
      <w:lvlJc w:val="left"/>
      <w:pPr>
        <w:ind w:left="833" w:hanging="408"/>
      </w:pPr>
      <w:rPr>
        <w:rFonts w:hint="eastAsia"/>
      </w:rPr>
    </w:lvl>
    <w:lvl w:ilvl="1" w:tentative="0">
      <w:start w:val="1"/>
      <w:numFmt w:val="bullet"/>
      <w:pStyle w:val="53"/>
      <w:lvlText w:val=""/>
      <w:lvlJc w:val="left"/>
      <w:pPr>
        <w:tabs>
          <w:tab w:val="left" w:pos="760"/>
        </w:tabs>
        <w:ind w:left="1264" w:hanging="413"/>
      </w:pPr>
      <w:rPr>
        <w:rFonts w:hint="default" w:ascii="Symbol" w:hAnsi="Symbol"/>
        <w:color w:val="auto"/>
      </w:rPr>
    </w:lvl>
    <w:lvl w:ilvl="2" w:tentative="0">
      <w:start w:val="1"/>
      <w:numFmt w:val="bullet"/>
      <w:pStyle w:val="68"/>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8">
    <w:nsid w:val="3D733618"/>
    <w:multiLevelType w:val="multilevel"/>
    <w:tmpl w:val="3D733618"/>
    <w:lvl w:ilvl="0" w:tentative="0">
      <w:start w:val="1"/>
      <w:numFmt w:val="decimal"/>
      <w:pStyle w:val="21"/>
      <w:lvlText w:val="%1)"/>
      <w:lvlJc w:val="left"/>
      <w:pPr>
        <w:tabs>
          <w:tab w:val="left" w:pos="0"/>
        </w:tabs>
        <w:ind w:left="720" w:hanging="357"/>
      </w:pPr>
      <w:rPr>
        <w:rFonts w:hint="eastAsia"/>
      </w:rPr>
    </w:lvl>
    <w:lvl w:ilvl="1" w:tentative="0">
      <w:start w:val="1"/>
      <w:numFmt w:val="lowerLetter"/>
      <w:lvlText w:val="%2)"/>
      <w:lvlJc w:val="left"/>
      <w:pPr>
        <w:tabs>
          <w:tab w:val="left" w:pos="504"/>
        </w:tabs>
        <w:ind w:left="544" w:hanging="544"/>
      </w:pPr>
      <w:rPr>
        <w:rFonts w:hint="eastAsia"/>
      </w:rPr>
    </w:lvl>
    <w:lvl w:ilvl="2" w:tentative="0">
      <w:start w:val="1"/>
      <w:numFmt w:val="lowerRoman"/>
      <w:lvlText w:val="%3."/>
      <w:lvlJc w:val="right"/>
      <w:pPr>
        <w:tabs>
          <w:tab w:val="left" w:pos="532"/>
        </w:tabs>
        <w:ind w:left="544" w:hanging="544"/>
      </w:pPr>
      <w:rPr>
        <w:rFonts w:hint="eastAsia"/>
      </w:rPr>
    </w:lvl>
    <w:lvl w:ilvl="3" w:tentative="0">
      <w:start w:val="1"/>
      <w:numFmt w:val="decimal"/>
      <w:lvlText w:val="%4."/>
      <w:lvlJc w:val="left"/>
      <w:pPr>
        <w:tabs>
          <w:tab w:val="left" w:pos="560"/>
        </w:tabs>
        <w:ind w:left="544" w:hanging="544"/>
      </w:pPr>
      <w:rPr>
        <w:rFonts w:hint="eastAsia"/>
      </w:rPr>
    </w:lvl>
    <w:lvl w:ilvl="4" w:tentative="0">
      <w:start w:val="1"/>
      <w:numFmt w:val="lowerLetter"/>
      <w:lvlText w:val="%5)"/>
      <w:lvlJc w:val="left"/>
      <w:pPr>
        <w:tabs>
          <w:tab w:val="left" w:pos="588"/>
        </w:tabs>
        <w:ind w:left="544" w:hanging="544"/>
      </w:pPr>
      <w:rPr>
        <w:rFonts w:hint="eastAsia"/>
      </w:rPr>
    </w:lvl>
    <w:lvl w:ilvl="5" w:tentative="0">
      <w:start w:val="1"/>
      <w:numFmt w:val="lowerRoman"/>
      <w:lvlText w:val="%6."/>
      <w:lvlJc w:val="right"/>
      <w:pPr>
        <w:tabs>
          <w:tab w:val="left" w:pos="616"/>
        </w:tabs>
        <w:ind w:left="544" w:hanging="544"/>
      </w:pPr>
      <w:rPr>
        <w:rFonts w:hint="eastAsia"/>
      </w:rPr>
    </w:lvl>
    <w:lvl w:ilvl="6" w:tentative="0">
      <w:start w:val="1"/>
      <w:numFmt w:val="decimal"/>
      <w:lvlText w:val="%7."/>
      <w:lvlJc w:val="left"/>
      <w:pPr>
        <w:tabs>
          <w:tab w:val="left" w:pos="644"/>
        </w:tabs>
        <w:ind w:left="544" w:hanging="544"/>
      </w:pPr>
      <w:rPr>
        <w:rFonts w:hint="eastAsia"/>
      </w:rPr>
    </w:lvl>
    <w:lvl w:ilvl="7" w:tentative="0">
      <w:start w:val="1"/>
      <w:numFmt w:val="lowerLetter"/>
      <w:lvlText w:val="%8)"/>
      <w:lvlJc w:val="left"/>
      <w:pPr>
        <w:tabs>
          <w:tab w:val="left" w:pos="672"/>
        </w:tabs>
        <w:ind w:left="544" w:hanging="544"/>
      </w:pPr>
      <w:rPr>
        <w:rFonts w:hint="eastAsia"/>
      </w:rPr>
    </w:lvl>
    <w:lvl w:ilvl="8" w:tentative="0">
      <w:start w:val="1"/>
      <w:numFmt w:val="lowerRoman"/>
      <w:lvlText w:val="%9."/>
      <w:lvlJc w:val="right"/>
      <w:pPr>
        <w:tabs>
          <w:tab w:val="left" w:pos="700"/>
        </w:tabs>
        <w:ind w:left="544" w:hanging="544"/>
      </w:pPr>
      <w:rPr>
        <w:rFonts w:hint="eastAsia"/>
      </w:rPr>
    </w:lvl>
  </w:abstractNum>
  <w:abstractNum w:abstractNumId="9">
    <w:nsid w:val="44C50F90"/>
    <w:multiLevelType w:val="multilevel"/>
    <w:tmpl w:val="44C50F90"/>
    <w:lvl w:ilvl="0" w:tentative="0">
      <w:start w:val="1"/>
      <w:numFmt w:val="lowerLetter"/>
      <w:pStyle w:val="66"/>
      <w:lvlText w:val="%1)"/>
      <w:lvlJc w:val="left"/>
      <w:pPr>
        <w:tabs>
          <w:tab w:val="left" w:pos="840"/>
        </w:tabs>
        <w:ind w:left="839" w:hanging="419"/>
      </w:pPr>
      <w:rPr>
        <w:rFonts w:hint="eastAsia" w:ascii="宋体" w:eastAsia="宋体"/>
        <w:b w:val="0"/>
        <w:i w:val="0"/>
        <w:sz w:val="21"/>
        <w:szCs w:val="21"/>
      </w:rPr>
    </w:lvl>
    <w:lvl w:ilvl="1" w:tentative="0">
      <w:start w:val="1"/>
      <w:numFmt w:val="decimal"/>
      <w:pStyle w:val="62"/>
      <w:lvlText w:val="%2)"/>
      <w:lvlJc w:val="left"/>
      <w:pPr>
        <w:tabs>
          <w:tab w:val="left" w:pos="1260"/>
        </w:tabs>
        <w:ind w:left="1259" w:hanging="419"/>
      </w:pPr>
      <w:rPr>
        <w:rFonts w:hint="eastAsia"/>
      </w:rPr>
    </w:lvl>
    <w:lvl w:ilvl="2" w:tentative="0">
      <w:start w:val="1"/>
      <w:numFmt w:val="decimal"/>
      <w:pStyle w:val="61"/>
      <w:lvlText w:val="(%3)"/>
      <w:lvlJc w:val="left"/>
      <w:pPr>
        <w:tabs>
          <w:tab w:val="left" w:pos="0"/>
        </w:tabs>
        <w:ind w:left="1679" w:hanging="420"/>
      </w:pPr>
      <w:rPr>
        <w:rFonts w:hint="eastAsia" w:ascii="宋体" w:eastAsia="宋体"/>
        <w:b w:val="0"/>
        <w:i w:val="0"/>
        <w:sz w:val="21"/>
        <w:szCs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0">
    <w:nsid w:val="4B733A5F"/>
    <w:multiLevelType w:val="multilevel"/>
    <w:tmpl w:val="4B733A5F"/>
    <w:lvl w:ilvl="0" w:tentative="0">
      <w:start w:val="1"/>
      <w:numFmt w:val="decimal"/>
      <w:pStyle w:val="59"/>
      <w:suff w:val="nothing"/>
      <w:lvlText w:val="示例%1："/>
      <w:lvlJc w:val="left"/>
      <w:pPr>
        <w:ind w:left="0" w:firstLine="363"/>
      </w:pPr>
      <w:rPr>
        <w:rFonts w:hint="eastAsia" w:ascii="黑体" w:hAnsi="Times New Roman" w:eastAsia="黑体"/>
        <w:b w:val="0"/>
        <w:i w:val="0"/>
        <w:sz w:val="18"/>
        <w:szCs w:val="18"/>
        <w:vertAlign w:val="baseline"/>
      </w:rPr>
    </w:lvl>
    <w:lvl w:ilvl="1" w:tentative="0">
      <w:start w:val="1"/>
      <w:numFmt w:val="none"/>
      <w:suff w:val="space"/>
      <w:lvlText w:val=""/>
      <w:lvlJc w:val="left"/>
      <w:pPr>
        <w:ind w:left="0" w:firstLine="0"/>
      </w:pPr>
      <w:rPr>
        <w:rFonts w:hint="eastAsia"/>
        <w:vertAlign w:val="baseline"/>
      </w:rPr>
    </w:lvl>
    <w:lvl w:ilvl="2" w:tentative="0">
      <w:start w:val="1"/>
      <w:numFmt w:val="decimal"/>
      <w:suff w:val="space"/>
      <w:lvlText w:val="2.2.%3"/>
      <w:lvlJc w:val="left"/>
      <w:pPr>
        <w:ind w:left="0" w:firstLine="0"/>
      </w:pPr>
      <w:rPr>
        <w:rFonts w:hint="eastAsia"/>
        <w:vertAlign w:val="baseline"/>
      </w:rPr>
    </w:lvl>
    <w:lvl w:ilvl="3" w:tentative="0">
      <w:start w:val="1"/>
      <w:numFmt w:val="decimal"/>
      <w:lvlText w:val="%4."/>
      <w:lvlJc w:val="left"/>
      <w:pPr>
        <w:tabs>
          <w:tab w:val="left" w:pos="0"/>
        </w:tabs>
        <w:ind w:left="992" w:hanging="629"/>
      </w:pPr>
      <w:rPr>
        <w:rFonts w:hint="eastAsia"/>
        <w:vertAlign w:val="baseline"/>
      </w:rPr>
    </w:lvl>
    <w:lvl w:ilvl="4" w:tentative="0">
      <w:start w:val="1"/>
      <w:numFmt w:val="lowerLetter"/>
      <w:lvlText w:val="%5)"/>
      <w:lvlJc w:val="left"/>
      <w:pPr>
        <w:tabs>
          <w:tab w:val="left" w:pos="0"/>
        </w:tabs>
        <w:ind w:left="992" w:hanging="629"/>
      </w:pPr>
      <w:rPr>
        <w:rFonts w:hint="eastAsia"/>
        <w:vertAlign w:val="baseline"/>
      </w:rPr>
    </w:lvl>
    <w:lvl w:ilvl="5" w:tentative="0">
      <w:start w:val="1"/>
      <w:numFmt w:val="lowerRoman"/>
      <w:lvlText w:val="%6."/>
      <w:lvlJc w:val="right"/>
      <w:pPr>
        <w:tabs>
          <w:tab w:val="left" w:pos="0"/>
        </w:tabs>
        <w:ind w:left="992" w:hanging="629"/>
      </w:pPr>
      <w:rPr>
        <w:rFonts w:hint="eastAsia"/>
        <w:vertAlign w:val="baseline"/>
      </w:rPr>
    </w:lvl>
    <w:lvl w:ilvl="6" w:tentative="0">
      <w:start w:val="1"/>
      <w:numFmt w:val="decimal"/>
      <w:lvlText w:val="%7."/>
      <w:lvlJc w:val="left"/>
      <w:pPr>
        <w:tabs>
          <w:tab w:val="left" w:pos="0"/>
        </w:tabs>
        <w:ind w:left="992" w:hanging="629"/>
      </w:pPr>
      <w:rPr>
        <w:rFonts w:hint="eastAsia"/>
        <w:vertAlign w:val="baseline"/>
      </w:rPr>
    </w:lvl>
    <w:lvl w:ilvl="7" w:tentative="0">
      <w:start w:val="1"/>
      <w:numFmt w:val="lowerLetter"/>
      <w:lvlText w:val="%8)"/>
      <w:lvlJc w:val="left"/>
      <w:pPr>
        <w:tabs>
          <w:tab w:val="left" w:pos="0"/>
        </w:tabs>
        <w:ind w:left="992" w:hanging="629"/>
      </w:pPr>
      <w:rPr>
        <w:rFonts w:hint="eastAsia"/>
        <w:vertAlign w:val="baseline"/>
      </w:rPr>
    </w:lvl>
    <w:lvl w:ilvl="8" w:tentative="0">
      <w:start w:val="1"/>
      <w:numFmt w:val="lowerRoman"/>
      <w:lvlText w:val="%9."/>
      <w:lvlJc w:val="right"/>
      <w:pPr>
        <w:tabs>
          <w:tab w:val="left" w:pos="0"/>
        </w:tabs>
        <w:ind w:left="992" w:hanging="629"/>
      </w:pPr>
      <w:rPr>
        <w:rFonts w:hint="eastAsia"/>
        <w:vertAlign w:val="baseline"/>
      </w:rPr>
    </w:lvl>
  </w:abstractNum>
  <w:abstractNum w:abstractNumId="11">
    <w:nsid w:val="557C2AF5"/>
    <w:multiLevelType w:val="multilevel"/>
    <w:tmpl w:val="557C2AF5"/>
    <w:lvl w:ilvl="0" w:tentative="0">
      <w:start w:val="1"/>
      <w:numFmt w:val="decimal"/>
      <w:pStyle w:val="121"/>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2">
    <w:nsid w:val="60B55DC2"/>
    <w:multiLevelType w:val="multilevel"/>
    <w:tmpl w:val="60B55DC2"/>
    <w:lvl w:ilvl="0" w:tentative="0">
      <w:start w:val="1"/>
      <w:numFmt w:val="upperLetter"/>
      <w:pStyle w:val="82"/>
      <w:lvlText w:val="%1"/>
      <w:lvlJc w:val="left"/>
      <w:pPr>
        <w:tabs>
          <w:tab w:val="left" w:pos="0"/>
        </w:tabs>
        <w:ind w:left="0" w:hanging="425"/>
      </w:pPr>
      <w:rPr>
        <w:rFonts w:hint="eastAsia"/>
      </w:rPr>
    </w:lvl>
    <w:lvl w:ilvl="1" w:tentative="0">
      <w:start w:val="1"/>
      <w:numFmt w:val="decimal"/>
      <w:pStyle w:val="83"/>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13">
    <w:nsid w:val="646260FA"/>
    <w:multiLevelType w:val="multilevel"/>
    <w:tmpl w:val="646260FA"/>
    <w:lvl w:ilvl="0" w:tentative="0">
      <w:start w:val="1"/>
      <w:numFmt w:val="decimal"/>
      <w:pStyle w:val="118"/>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4">
    <w:nsid w:val="657D3FBC"/>
    <w:multiLevelType w:val="multilevel"/>
    <w:tmpl w:val="657D3FBC"/>
    <w:lvl w:ilvl="0" w:tentative="0">
      <w:start w:val="1"/>
      <w:numFmt w:val="upperLetter"/>
      <w:pStyle w:val="80"/>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67"/>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94"/>
      <w:suff w:val="nothing"/>
      <w:lvlText w:val="%1.%2.%3　"/>
      <w:lvlJc w:val="left"/>
      <w:pPr>
        <w:ind w:left="0" w:firstLine="0"/>
      </w:pPr>
      <w:rPr>
        <w:rFonts w:hint="eastAsia" w:ascii="黑体" w:hAnsi="Times New Roman" w:eastAsia="黑体"/>
        <w:b w:val="0"/>
        <w:i w:val="0"/>
        <w:sz w:val="21"/>
      </w:rPr>
    </w:lvl>
    <w:lvl w:ilvl="3" w:tentative="0">
      <w:start w:val="1"/>
      <w:numFmt w:val="decimal"/>
      <w:pStyle w:val="84"/>
      <w:suff w:val="nothing"/>
      <w:lvlText w:val="%1.%2.%3.%4　"/>
      <w:lvlJc w:val="left"/>
      <w:pPr>
        <w:ind w:left="1260" w:firstLine="0"/>
      </w:pPr>
      <w:rPr>
        <w:rFonts w:hint="eastAsia" w:ascii="黑体" w:hAnsi="Times New Roman" w:eastAsia="黑体"/>
        <w:b w:val="0"/>
        <w:i w:val="0"/>
        <w:sz w:val="21"/>
      </w:rPr>
    </w:lvl>
    <w:lvl w:ilvl="4" w:tentative="0">
      <w:start w:val="1"/>
      <w:numFmt w:val="decimal"/>
      <w:pStyle w:val="88"/>
      <w:suff w:val="nothing"/>
      <w:lvlText w:val="%1.%2.%3.%4.%5　"/>
      <w:lvlJc w:val="left"/>
      <w:pPr>
        <w:ind w:left="0" w:firstLine="0"/>
      </w:pPr>
      <w:rPr>
        <w:rFonts w:hint="eastAsia" w:ascii="黑体" w:hAnsi="Times New Roman" w:eastAsia="黑体"/>
        <w:b w:val="0"/>
        <w:i w:val="0"/>
        <w:sz w:val="21"/>
      </w:rPr>
    </w:lvl>
    <w:lvl w:ilvl="5" w:tentative="0">
      <w:start w:val="1"/>
      <w:numFmt w:val="decimal"/>
      <w:pStyle w:val="91"/>
      <w:suff w:val="nothing"/>
      <w:lvlText w:val="%1.%2.%3.%4.%5.%6　"/>
      <w:lvlJc w:val="left"/>
      <w:pPr>
        <w:ind w:left="0" w:firstLine="0"/>
      </w:pPr>
      <w:rPr>
        <w:rFonts w:hint="eastAsia" w:ascii="黑体" w:hAnsi="Times New Roman" w:eastAsia="黑体"/>
        <w:b w:val="0"/>
        <w:i w:val="0"/>
        <w:sz w:val="21"/>
      </w:rPr>
    </w:lvl>
    <w:lvl w:ilvl="6" w:tentative="0">
      <w:start w:val="1"/>
      <w:numFmt w:val="decimal"/>
      <w:pStyle w:val="97"/>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5">
    <w:nsid w:val="6D6C07CD"/>
    <w:multiLevelType w:val="multilevel"/>
    <w:tmpl w:val="6D6C07CD"/>
    <w:lvl w:ilvl="0" w:tentative="0">
      <w:start w:val="1"/>
      <w:numFmt w:val="lowerLetter"/>
      <w:pStyle w:val="100"/>
      <w:lvlText w:val="%1)"/>
      <w:lvlJc w:val="left"/>
      <w:pPr>
        <w:tabs>
          <w:tab w:val="left" w:pos="839"/>
        </w:tabs>
        <w:ind w:left="839" w:hanging="419"/>
      </w:pPr>
      <w:rPr>
        <w:rFonts w:hint="eastAsia" w:ascii="宋体" w:eastAsia="宋体"/>
        <w:b w:val="0"/>
        <w:i w:val="0"/>
        <w:sz w:val="21"/>
      </w:rPr>
    </w:lvl>
    <w:lvl w:ilvl="1" w:tentative="0">
      <w:start w:val="1"/>
      <w:numFmt w:val="decimal"/>
      <w:pStyle w:val="63"/>
      <w:lvlText w:val="%2)"/>
      <w:lvlJc w:val="left"/>
      <w:pPr>
        <w:tabs>
          <w:tab w:val="left" w:pos="840"/>
        </w:tabs>
        <w:ind w:left="839" w:hanging="419"/>
      </w:pPr>
      <w:rPr>
        <w:rFonts w:hint="eastAsia" w:ascii="宋体" w:eastAsia="宋体"/>
        <w:b w:val="0"/>
        <w:i w:val="0"/>
        <w:sz w:val="21"/>
      </w:rPr>
    </w:lvl>
    <w:lvl w:ilvl="2" w:tentative="0">
      <w:start w:val="1"/>
      <w:numFmt w:val="lowerRoman"/>
      <w:lvlText w:val="%3."/>
      <w:lvlJc w:val="right"/>
      <w:pPr>
        <w:tabs>
          <w:tab w:val="left" w:pos="1260"/>
        </w:tabs>
        <w:ind w:left="1259" w:hanging="419"/>
      </w:pPr>
      <w:rPr>
        <w:rFonts w:hint="eastAsia"/>
      </w:rPr>
    </w:lvl>
    <w:lvl w:ilvl="3" w:tentative="0">
      <w:start w:val="1"/>
      <w:numFmt w:val="decimal"/>
      <w:lvlText w:val="%4."/>
      <w:lvlJc w:val="left"/>
      <w:pPr>
        <w:tabs>
          <w:tab w:val="left" w:pos="1680"/>
        </w:tabs>
        <w:ind w:left="1679" w:hanging="419"/>
      </w:pPr>
      <w:rPr>
        <w:rFonts w:hint="eastAsia"/>
      </w:rPr>
    </w:lvl>
    <w:lvl w:ilvl="4" w:tentative="0">
      <w:start w:val="1"/>
      <w:numFmt w:val="lowerLetter"/>
      <w:lvlText w:val="%5)"/>
      <w:lvlJc w:val="left"/>
      <w:pPr>
        <w:tabs>
          <w:tab w:val="left" w:pos="2100"/>
        </w:tabs>
        <w:ind w:left="2099" w:hanging="419"/>
      </w:pPr>
      <w:rPr>
        <w:rFonts w:hint="eastAsia"/>
      </w:rPr>
    </w:lvl>
    <w:lvl w:ilvl="5" w:tentative="0">
      <w:start w:val="1"/>
      <w:numFmt w:val="lowerRoman"/>
      <w:lvlText w:val="%6."/>
      <w:lvlJc w:val="right"/>
      <w:pPr>
        <w:tabs>
          <w:tab w:val="left" w:pos="2520"/>
        </w:tabs>
        <w:ind w:left="2519" w:hanging="419"/>
      </w:pPr>
      <w:rPr>
        <w:rFonts w:hint="eastAsia"/>
      </w:rPr>
    </w:lvl>
    <w:lvl w:ilvl="6" w:tentative="0">
      <w:start w:val="1"/>
      <w:numFmt w:val="decimal"/>
      <w:lvlText w:val="%7."/>
      <w:lvlJc w:val="left"/>
      <w:pPr>
        <w:tabs>
          <w:tab w:val="left" w:pos="2940"/>
        </w:tabs>
        <w:ind w:left="2939" w:hanging="419"/>
      </w:pPr>
      <w:rPr>
        <w:rFonts w:hint="eastAsia"/>
      </w:rPr>
    </w:lvl>
    <w:lvl w:ilvl="7" w:tentative="0">
      <w:start w:val="1"/>
      <w:numFmt w:val="lowerLetter"/>
      <w:lvlText w:val="%8)"/>
      <w:lvlJc w:val="left"/>
      <w:pPr>
        <w:tabs>
          <w:tab w:val="left" w:pos="3360"/>
        </w:tabs>
        <w:ind w:left="3359" w:hanging="419"/>
      </w:pPr>
      <w:rPr>
        <w:rFonts w:hint="eastAsia"/>
      </w:rPr>
    </w:lvl>
    <w:lvl w:ilvl="8" w:tentative="0">
      <w:start w:val="1"/>
      <w:numFmt w:val="lowerRoman"/>
      <w:lvlText w:val="%9."/>
      <w:lvlJc w:val="right"/>
      <w:pPr>
        <w:tabs>
          <w:tab w:val="left" w:pos="3780"/>
        </w:tabs>
        <w:ind w:left="3779" w:hanging="419"/>
      </w:pPr>
      <w:rPr>
        <w:rFonts w:hint="eastAsia"/>
      </w:rPr>
    </w:lvl>
  </w:abstractNum>
  <w:abstractNum w:abstractNumId="16">
    <w:nsid w:val="6DBF04F4"/>
    <w:multiLevelType w:val="multilevel"/>
    <w:tmpl w:val="6DBF04F4"/>
    <w:lvl w:ilvl="0" w:tentative="0">
      <w:start w:val="1"/>
      <w:numFmt w:val="none"/>
      <w:pStyle w:val="52"/>
      <w:suff w:val="nothing"/>
      <w:lvlText w:val="%1注："/>
      <w:lvlJc w:val="left"/>
      <w:pPr>
        <w:ind w:left="726" w:hanging="363"/>
      </w:pPr>
      <w:rPr>
        <w:rFonts w:hint="eastAsia" w:ascii="黑体" w:hAnsi="Times New Roman"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8"/>
  </w:num>
  <w:num w:numId="2">
    <w:abstractNumId w:val="5"/>
  </w:num>
  <w:num w:numId="3">
    <w:abstractNumId w:val="16"/>
  </w:num>
  <w:num w:numId="4">
    <w:abstractNumId w:val="7"/>
  </w:num>
  <w:num w:numId="5">
    <w:abstractNumId w:val="10"/>
  </w:num>
  <w:num w:numId="6">
    <w:abstractNumId w:val="2"/>
  </w:num>
  <w:num w:numId="7">
    <w:abstractNumId w:val="9"/>
  </w:num>
  <w:num w:numId="8">
    <w:abstractNumId w:val="15"/>
  </w:num>
  <w:num w:numId="9">
    <w:abstractNumId w:val="0"/>
  </w:num>
  <w:num w:numId="10">
    <w:abstractNumId w:val="14"/>
  </w:num>
  <w:num w:numId="11">
    <w:abstractNumId w:val="4"/>
  </w:num>
  <w:num w:numId="12">
    <w:abstractNumId w:val="12"/>
  </w:num>
  <w:num w:numId="13">
    <w:abstractNumId w:val="6"/>
  </w:num>
  <w:num w:numId="14">
    <w:abstractNumId w:val="1"/>
  </w:num>
  <w:num w:numId="15">
    <w:abstractNumId w:val="3"/>
  </w:num>
  <w:num w:numId="16">
    <w:abstractNumId w:val="13"/>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removePersonalInformation/>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revisionView w:markup="0"/>
  <w:documentProtection w:edit="forms" w:enforcement="1" w:cryptProviderType="rsaFull" w:cryptAlgorithmClass="hash" w:cryptAlgorithmType="typeAny" w:cryptAlgorithmSid="4" w:cryptSpinCount="0" w:hash="NNspjSUrYRmlaoDWztlIjd89CMM=" w:salt="vpeugGZsg8kVXhnuI7fTRw=="/>
  <w:defaultTabStop w:val="420"/>
  <w:hyphenationZone w:val="36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2FB05E48"/>
    <w:rsid w:val="00000244"/>
    <w:rsid w:val="0000185F"/>
    <w:rsid w:val="0000586F"/>
    <w:rsid w:val="00013D86"/>
    <w:rsid w:val="00013E02"/>
    <w:rsid w:val="000162F1"/>
    <w:rsid w:val="0002143C"/>
    <w:rsid w:val="00025A65"/>
    <w:rsid w:val="00026C31"/>
    <w:rsid w:val="00027280"/>
    <w:rsid w:val="000320A7"/>
    <w:rsid w:val="00034A70"/>
    <w:rsid w:val="00035925"/>
    <w:rsid w:val="000472A4"/>
    <w:rsid w:val="00062580"/>
    <w:rsid w:val="000673D8"/>
    <w:rsid w:val="00067CDF"/>
    <w:rsid w:val="00074FBE"/>
    <w:rsid w:val="00083A09"/>
    <w:rsid w:val="0009005E"/>
    <w:rsid w:val="00092857"/>
    <w:rsid w:val="0009564C"/>
    <w:rsid w:val="000A20A9"/>
    <w:rsid w:val="000A48B1"/>
    <w:rsid w:val="000B3143"/>
    <w:rsid w:val="000C6B05"/>
    <w:rsid w:val="000C6DD6"/>
    <w:rsid w:val="000C73D4"/>
    <w:rsid w:val="000D3D4C"/>
    <w:rsid w:val="000D4F51"/>
    <w:rsid w:val="000D718B"/>
    <w:rsid w:val="000E0C46"/>
    <w:rsid w:val="000F030C"/>
    <w:rsid w:val="000F129C"/>
    <w:rsid w:val="001056DE"/>
    <w:rsid w:val="001124C0"/>
    <w:rsid w:val="0013175F"/>
    <w:rsid w:val="001512B4"/>
    <w:rsid w:val="001620A5"/>
    <w:rsid w:val="00164E53"/>
    <w:rsid w:val="0016699D"/>
    <w:rsid w:val="00166F82"/>
    <w:rsid w:val="00167D0E"/>
    <w:rsid w:val="001739DA"/>
    <w:rsid w:val="00175159"/>
    <w:rsid w:val="00176208"/>
    <w:rsid w:val="0018211B"/>
    <w:rsid w:val="001840D3"/>
    <w:rsid w:val="001865F5"/>
    <w:rsid w:val="001900F8"/>
    <w:rsid w:val="00191258"/>
    <w:rsid w:val="00192680"/>
    <w:rsid w:val="00192852"/>
    <w:rsid w:val="00193037"/>
    <w:rsid w:val="00193A2C"/>
    <w:rsid w:val="001A288E"/>
    <w:rsid w:val="001B3F64"/>
    <w:rsid w:val="001B6DC2"/>
    <w:rsid w:val="001C149C"/>
    <w:rsid w:val="001C21AC"/>
    <w:rsid w:val="001C47BA"/>
    <w:rsid w:val="001C59EA"/>
    <w:rsid w:val="001D406C"/>
    <w:rsid w:val="001D41EE"/>
    <w:rsid w:val="001E0380"/>
    <w:rsid w:val="001E13B1"/>
    <w:rsid w:val="001E5F6E"/>
    <w:rsid w:val="001F3A19"/>
    <w:rsid w:val="001F3C71"/>
    <w:rsid w:val="00234467"/>
    <w:rsid w:val="00236C9C"/>
    <w:rsid w:val="00237D8D"/>
    <w:rsid w:val="00241DA2"/>
    <w:rsid w:val="00247FEE"/>
    <w:rsid w:val="00250E7D"/>
    <w:rsid w:val="002565D5"/>
    <w:rsid w:val="00257A9A"/>
    <w:rsid w:val="002622C0"/>
    <w:rsid w:val="002650EE"/>
    <w:rsid w:val="00274A41"/>
    <w:rsid w:val="002778AE"/>
    <w:rsid w:val="0028269A"/>
    <w:rsid w:val="00283590"/>
    <w:rsid w:val="00286973"/>
    <w:rsid w:val="00294E70"/>
    <w:rsid w:val="0029667D"/>
    <w:rsid w:val="002A1924"/>
    <w:rsid w:val="002A7420"/>
    <w:rsid w:val="002B0F12"/>
    <w:rsid w:val="002B1308"/>
    <w:rsid w:val="002B4554"/>
    <w:rsid w:val="002C72D8"/>
    <w:rsid w:val="002D11FA"/>
    <w:rsid w:val="002E0DDF"/>
    <w:rsid w:val="002E2906"/>
    <w:rsid w:val="002E5635"/>
    <w:rsid w:val="002E64C3"/>
    <w:rsid w:val="002E6A2C"/>
    <w:rsid w:val="002F1D8C"/>
    <w:rsid w:val="002F21DA"/>
    <w:rsid w:val="00300531"/>
    <w:rsid w:val="00301F39"/>
    <w:rsid w:val="00311BBC"/>
    <w:rsid w:val="00325926"/>
    <w:rsid w:val="00327A8A"/>
    <w:rsid w:val="00336610"/>
    <w:rsid w:val="00343F73"/>
    <w:rsid w:val="00345060"/>
    <w:rsid w:val="0035323B"/>
    <w:rsid w:val="003609D2"/>
    <w:rsid w:val="00363F22"/>
    <w:rsid w:val="003643C7"/>
    <w:rsid w:val="003644C2"/>
    <w:rsid w:val="00375564"/>
    <w:rsid w:val="00383191"/>
    <w:rsid w:val="00386DED"/>
    <w:rsid w:val="003912E7"/>
    <w:rsid w:val="00393947"/>
    <w:rsid w:val="003A2275"/>
    <w:rsid w:val="003A6A4F"/>
    <w:rsid w:val="003A7088"/>
    <w:rsid w:val="003B00DF"/>
    <w:rsid w:val="003B1275"/>
    <w:rsid w:val="003B1778"/>
    <w:rsid w:val="003B2DDE"/>
    <w:rsid w:val="003C11CB"/>
    <w:rsid w:val="003C75F3"/>
    <w:rsid w:val="003C78A3"/>
    <w:rsid w:val="003E1867"/>
    <w:rsid w:val="003E5729"/>
    <w:rsid w:val="003F392D"/>
    <w:rsid w:val="003F4EE0"/>
    <w:rsid w:val="004005DD"/>
    <w:rsid w:val="00402153"/>
    <w:rsid w:val="00402FC1"/>
    <w:rsid w:val="00407EA3"/>
    <w:rsid w:val="00415D1E"/>
    <w:rsid w:val="00416477"/>
    <w:rsid w:val="00425082"/>
    <w:rsid w:val="00431DEB"/>
    <w:rsid w:val="00443EF1"/>
    <w:rsid w:val="00446B29"/>
    <w:rsid w:val="00453067"/>
    <w:rsid w:val="00453F9A"/>
    <w:rsid w:val="00471E91"/>
    <w:rsid w:val="00474670"/>
    <w:rsid w:val="00474675"/>
    <w:rsid w:val="0047470C"/>
    <w:rsid w:val="00477604"/>
    <w:rsid w:val="004A35F9"/>
    <w:rsid w:val="004B24C1"/>
    <w:rsid w:val="004C292F"/>
    <w:rsid w:val="004D2844"/>
    <w:rsid w:val="004E4E66"/>
    <w:rsid w:val="004E6E6C"/>
    <w:rsid w:val="004F2DBF"/>
    <w:rsid w:val="00510280"/>
    <w:rsid w:val="00513D73"/>
    <w:rsid w:val="00514A43"/>
    <w:rsid w:val="005174E5"/>
    <w:rsid w:val="00522393"/>
    <w:rsid w:val="00522620"/>
    <w:rsid w:val="00525656"/>
    <w:rsid w:val="00527C13"/>
    <w:rsid w:val="00534C02"/>
    <w:rsid w:val="0054264B"/>
    <w:rsid w:val="00543786"/>
    <w:rsid w:val="005533D7"/>
    <w:rsid w:val="00557643"/>
    <w:rsid w:val="005703DE"/>
    <w:rsid w:val="0058464E"/>
    <w:rsid w:val="00597F6B"/>
    <w:rsid w:val="005A01CB"/>
    <w:rsid w:val="005A4425"/>
    <w:rsid w:val="005A58FF"/>
    <w:rsid w:val="005A5EAF"/>
    <w:rsid w:val="005A64C0"/>
    <w:rsid w:val="005B3C11"/>
    <w:rsid w:val="005B51F4"/>
    <w:rsid w:val="005B5A05"/>
    <w:rsid w:val="005C1C28"/>
    <w:rsid w:val="005C6DB5"/>
    <w:rsid w:val="005E19E7"/>
    <w:rsid w:val="00613B18"/>
    <w:rsid w:val="0061716C"/>
    <w:rsid w:val="006243A1"/>
    <w:rsid w:val="00632396"/>
    <w:rsid w:val="00632E56"/>
    <w:rsid w:val="00635CBA"/>
    <w:rsid w:val="0064338B"/>
    <w:rsid w:val="00646542"/>
    <w:rsid w:val="006504F4"/>
    <w:rsid w:val="00654BC9"/>
    <w:rsid w:val="006552FD"/>
    <w:rsid w:val="00663AF3"/>
    <w:rsid w:val="00666B6C"/>
    <w:rsid w:val="00672E82"/>
    <w:rsid w:val="00682682"/>
    <w:rsid w:val="00682702"/>
    <w:rsid w:val="00690E43"/>
    <w:rsid w:val="00692368"/>
    <w:rsid w:val="006A2EBC"/>
    <w:rsid w:val="006A5EA0"/>
    <w:rsid w:val="006A783B"/>
    <w:rsid w:val="006A7B33"/>
    <w:rsid w:val="006B4E13"/>
    <w:rsid w:val="006B7557"/>
    <w:rsid w:val="006B75DD"/>
    <w:rsid w:val="006C67E0"/>
    <w:rsid w:val="006C7ABA"/>
    <w:rsid w:val="006D0D60"/>
    <w:rsid w:val="006D1122"/>
    <w:rsid w:val="006D3C00"/>
    <w:rsid w:val="006E3675"/>
    <w:rsid w:val="006E4A7F"/>
    <w:rsid w:val="006F58B2"/>
    <w:rsid w:val="006F7BE1"/>
    <w:rsid w:val="00704DF6"/>
    <w:rsid w:val="0070651C"/>
    <w:rsid w:val="007132A3"/>
    <w:rsid w:val="00716421"/>
    <w:rsid w:val="00724EFB"/>
    <w:rsid w:val="0072790E"/>
    <w:rsid w:val="007419C3"/>
    <w:rsid w:val="007467A7"/>
    <w:rsid w:val="007469DD"/>
    <w:rsid w:val="0074741B"/>
    <w:rsid w:val="0074759E"/>
    <w:rsid w:val="007478EA"/>
    <w:rsid w:val="007540DA"/>
    <w:rsid w:val="0075415C"/>
    <w:rsid w:val="007631CE"/>
    <w:rsid w:val="00763502"/>
    <w:rsid w:val="0077370B"/>
    <w:rsid w:val="007909E1"/>
    <w:rsid w:val="007913AB"/>
    <w:rsid w:val="007914F7"/>
    <w:rsid w:val="007B1625"/>
    <w:rsid w:val="007B706E"/>
    <w:rsid w:val="007B71EB"/>
    <w:rsid w:val="007C6205"/>
    <w:rsid w:val="007C6683"/>
    <w:rsid w:val="007C686A"/>
    <w:rsid w:val="007C728E"/>
    <w:rsid w:val="007D2C53"/>
    <w:rsid w:val="007D3D60"/>
    <w:rsid w:val="007E1980"/>
    <w:rsid w:val="007E4B76"/>
    <w:rsid w:val="007E5EA8"/>
    <w:rsid w:val="007F0CF1"/>
    <w:rsid w:val="007F12A5"/>
    <w:rsid w:val="007F4CF1"/>
    <w:rsid w:val="007F758D"/>
    <w:rsid w:val="007F7D52"/>
    <w:rsid w:val="0080654C"/>
    <w:rsid w:val="008071C6"/>
    <w:rsid w:val="00817A00"/>
    <w:rsid w:val="00830B66"/>
    <w:rsid w:val="00835DB3"/>
    <w:rsid w:val="0083617B"/>
    <w:rsid w:val="008371BD"/>
    <w:rsid w:val="008377F5"/>
    <w:rsid w:val="008504A8"/>
    <w:rsid w:val="0085282E"/>
    <w:rsid w:val="00860824"/>
    <w:rsid w:val="00863910"/>
    <w:rsid w:val="0087198C"/>
    <w:rsid w:val="00872C1F"/>
    <w:rsid w:val="00873B42"/>
    <w:rsid w:val="00881A29"/>
    <w:rsid w:val="008856D8"/>
    <w:rsid w:val="00892E82"/>
    <w:rsid w:val="008A7057"/>
    <w:rsid w:val="008C1B58"/>
    <w:rsid w:val="008C39AE"/>
    <w:rsid w:val="008C590D"/>
    <w:rsid w:val="008E031B"/>
    <w:rsid w:val="008E7029"/>
    <w:rsid w:val="008E7EF6"/>
    <w:rsid w:val="008F1F98"/>
    <w:rsid w:val="008F6758"/>
    <w:rsid w:val="00900B26"/>
    <w:rsid w:val="009040DD"/>
    <w:rsid w:val="00905B47"/>
    <w:rsid w:val="0091331C"/>
    <w:rsid w:val="0091592C"/>
    <w:rsid w:val="009279DE"/>
    <w:rsid w:val="00930116"/>
    <w:rsid w:val="0094212C"/>
    <w:rsid w:val="00954689"/>
    <w:rsid w:val="009617C9"/>
    <w:rsid w:val="00961C93"/>
    <w:rsid w:val="00965324"/>
    <w:rsid w:val="0097091E"/>
    <w:rsid w:val="009741EA"/>
    <w:rsid w:val="009760D3"/>
    <w:rsid w:val="00977132"/>
    <w:rsid w:val="00981A4B"/>
    <w:rsid w:val="00982501"/>
    <w:rsid w:val="009877D3"/>
    <w:rsid w:val="00994E8F"/>
    <w:rsid w:val="009951DC"/>
    <w:rsid w:val="009959BB"/>
    <w:rsid w:val="00997158"/>
    <w:rsid w:val="009A22F6"/>
    <w:rsid w:val="009A3A7C"/>
    <w:rsid w:val="009A51A0"/>
    <w:rsid w:val="009B2ADB"/>
    <w:rsid w:val="009B603A"/>
    <w:rsid w:val="009C2D0E"/>
    <w:rsid w:val="009C3DAC"/>
    <w:rsid w:val="009C42E0"/>
    <w:rsid w:val="009C4FBE"/>
    <w:rsid w:val="009D5362"/>
    <w:rsid w:val="009E1415"/>
    <w:rsid w:val="009E27F9"/>
    <w:rsid w:val="009E2EC3"/>
    <w:rsid w:val="009E6116"/>
    <w:rsid w:val="00A02E43"/>
    <w:rsid w:val="00A065F9"/>
    <w:rsid w:val="00A07F34"/>
    <w:rsid w:val="00A22154"/>
    <w:rsid w:val="00A25C38"/>
    <w:rsid w:val="00A273D5"/>
    <w:rsid w:val="00A36BBE"/>
    <w:rsid w:val="00A4307A"/>
    <w:rsid w:val="00A44BF9"/>
    <w:rsid w:val="00A47EBB"/>
    <w:rsid w:val="00A51CDD"/>
    <w:rsid w:val="00A55C21"/>
    <w:rsid w:val="00A56B05"/>
    <w:rsid w:val="00A6730D"/>
    <w:rsid w:val="00A71625"/>
    <w:rsid w:val="00A71B9B"/>
    <w:rsid w:val="00A751C7"/>
    <w:rsid w:val="00A87844"/>
    <w:rsid w:val="00AA038C"/>
    <w:rsid w:val="00AA7A09"/>
    <w:rsid w:val="00AB3B50"/>
    <w:rsid w:val="00AB725C"/>
    <w:rsid w:val="00AC05B1"/>
    <w:rsid w:val="00AD356C"/>
    <w:rsid w:val="00AE2914"/>
    <w:rsid w:val="00AE6D15"/>
    <w:rsid w:val="00AE7DF3"/>
    <w:rsid w:val="00B04182"/>
    <w:rsid w:val="00B07AE3"/>
    <w:rsid w:val="00B11430"/>
    <w:rsid w:val="00B353EB"/>
    <w:rsid w:val="00B439C4"/>
    <w:rsid w:val="00B4535E"/>
    <w:rsid w:val="00B52A8C"/>
    <w:rsid w:val="00B636A8"/>
    <w:rsid w:val="00B665C6"/>
    <w:rsid w:val="00B754D9"/>
    <w:rsid w:val="00B805AF"/>
    <w:rsid w:val="00B869EC"/>
    <w:rsid w:val="00B9397A"/>
    <w:rsid w:val="00B9633D"/>
    <w:rsid w:val="00BA2EBE"/>
    <w:rsid w:val="00BB0F28"/>
    <w:rsid w:val="00BB1457"/>
    <w:rsid w:val="00BB458A"/>
    <w:rsid w:val="00BD00D3"/>
    <w:rsid w:val="00BD1659"/>
    <w:rsid w:val="00BD3AA9"/>
    <w:rsid w:val="00BD4A18"/>
    <w:rsid w:val="00BD6DB2"/>
    <w:rsid w:val="00BE11CF"/>
    <w:rsid w:val="00BE21AB"/>
    <w:rsid w:val="00BE2DFB"/>
    <w:rsid w:val="00BE55CB"/>
    <w:rsid w:val="00BF38E0"/>
    <w:rsid w:val="00BF5E33"/>
    <w:rsid w:val="00BF5E56"/>
    <w:rsid w:val="00BF617A"/>
    <w:rsid w:val="00C0379D"/>
    <w:rsid w:val="00C03931"/>
    <w:rsid w:val="00C05FE3"/>
    <w:rsid w:val="00C2136D"/>
    <w:rsid w:val="00C214EE"/>
    <w:rsid w:val="00C2314B"/>
    <w:rsid w:val="00C24971"/>
    <w:rsid w:val="00C26BE5"/>
    <w:rsid w:val="00C26E4D"/>
    <w:rsid w:val="00C27909"/>
    <w:rsid w:val="00C27B03"/>
    <w:rsid w:val="00C314E1"/>
    <w:rsid w:val="00C34397"/>
    <w:rsid w:val="00C4095D"/>
    <w:rsid w:val="00C452EF"/>
    <w:rsid w:val="00C51990"/>
    <w:rsid w:val="00C601D2"/>
    <w:rsid w:val="00C657AB"/>
    <w:rsid w:val="00C65BCC"/>
    <w:rsid w:val="00C66970"/>
    <w:rsid w:val="00C811E0"/>
    <w:rsid w:val="00C8691C"/>
    <w:rsid w:val="00CA168A"/>
    <w:rsid w:val="00CA357E"/>
    <w:rsid w:val="00CA44F9"/>
    <w:rsid w:val="00CA4A69"/>
    <w:rsid w:val="00CB688B"/>
    <w:rsid w:val="00CC3E0C"/>
    <w:rsid w:val="00CC58D3"/>
    <w:rsid w:val="00CC784D"/>
    <w:rsid w:val="00CD29E7"/>
    <w:rsid w:val="00D0337B"/>
    <w:rsid w:val="00D069CE"/>
    <w:rsid w:val="00D079B2"/>
    <w:rsid w:val="00D114E9"/>
    <w:rsid w:val="00D32119"/>
    <w:rsid w:val="00D429C6"/>
    <w:rsid w:val="00D47748"/>
    <w:rsid w:val="00D53D61"/>
    <w:rsid w:val="00D54CC3"/>
    <w:rsid w:val="00D6041A"/>
    <w:rsid w:val="00D61B36"/>
    <w:rsid w:val="00D633EB"/>
    <w:rsid w:val="00D67024"/>
    <w:rsid w:val="00D76C9F"/>
    <w:rsid w:val="00D82FF7"/>
    <w:rsid w:val="00D847FE"/>
    <w:rsid w:val="00D964EA"/>
    <w:rsid w:val="00D966D0"/>
    <w:rsid w:val="00DA0C59"/>
    <w:rsid w:val="00DA3991"/>
    <w:rsid w:val="00DB7E6C"/>
    <w:rsid w:val="00DD5A29"/>
    <w:rsid w:val="00DD5D9D"/>
    <w:rsid w:val="00DE015A"/>
    <w:rsid w:val="00DE35CB"/>
    <w:rsid w:val="00DF21E9"/>
    <w:rsid w:val="00E00F14"/>
    <w:rsid w:val="00E06386"/>
    <w:rsid w:val="00E156FB"/>
    <w:rsid w:val="00E1739D"/>
    <w:rsid w:val="00E24EB4"/>
    <w:rsid w:val="00E320ED"/>
    <w:rsid w:val="00E33AFB"/>
    <w:rsid w:val="00E34218"/>
    <w:rsid w:val="00E46282"/>
    <w:rsid w:val="00E515BB"/>
    <w:rsid w:val="00E5216E"/>
    <w:rsid w:val="00E77686"/>
    <w:rsid w:val="00E82344"/>
    <w:rsid w:val="00E84C82"/>
    <w:rsid w:val="00E84D64"/>
    <w:rsid w:val="00E87408"/>
    <w:rsid w:val="00E914C4"/>
    <w:rsid w:val="00E934F5"/>
    <w:rsid w:val="00E96961"/>
    <w:rsid w:val="00EA06A6"/>
    <w:rsid w:val="00EA72EC"/>
    <w:rsid w:val="00EB11CB"/>
    <w:rsid w:val="00EB2254"/>
    <w:rsid w:val="00EB275A"/>
    <w:rsid w:val="00EB786A"/>
    <w:rsid w:val="00EC1578"/>
    <w:rsid w:val="00EC1C72"/>
    <w:rsid w:val="00EC3CC9"/>
    <w:rsid w:val="00EC680A"/>
    <w:rsid w:val="00EE0353"/>
    <w:rsid w:val="00EE2BED"/>
    <w:rsid w:val="00EE374B"/>
    <w:rsid w:val="00EE4C04"/>
    <w:rsid w:val="00F11BB5"/>
    <w:rsid w:val="00F1417B"/>
    <w:rsid w:val="00F34B99"/>
    <w:rsid w:val="00F52DAB"/>
    <w:rsid w:val="00F543F0"/>
    <w:rsid w:val="00F6408C"/>
    <w:rsid w:val="00F72B95"/>
    <w:rsid w:val="00F81D29"/>
    <w:rsid w:val="00F91B8D"/>
    <w:rsid w:val="00F91C4D"/>
    <w:rsid w:val="00F92FD9"/>
    <w:rsid w:val="00FA208D"/>
    <w:rsid w:val="00FA6684"/>
    <w:rsid w:val="00FA731E"/>
    <w:rsid w:val="00FB2B38"/>
    <w:rsid w:val="00FC6358"/>
    <w:rsid w:val="00FD320D"/>
    <w:rsid w:val="00FE23DE"/>
    <w:rsid w:val="00FF7DE4"/>
    <w:rsid w:val="037A71A8"/>
    <w:rsid w:val="0AA70ABE"/>
    <w:rsid w:val="11531EE4"/>
    <w:rsid w:val="168811F2"/>
    <w:rsid w:val="271D23B9"/>
    <w:rsid w:val="2B032AAF"/>
    <w:rsid w:val="2BEF4A33"/>
    <w:rsid w:val="2FB05E48"/>
    <w:rsid w:val="3C884EEB"/>
    <w:rsid w:val="4463649D"/>
    <w:rsid w:val="52A60B31"/>
    <w:rsid w:val="6C6F75B3"/>
    <w:rsid w:val="6E310CCA"/>
    <w:rsid w:val="71B31BD1"/>
    <w:rsid w:val="771C504E"/>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28">
    <w:name w:val="Default Paragraph Font"/>
    <w:semiHidden/>
    <w:qFormat/>
    <w:uiPriority w:val="0"/>
  </w:style>
  <w:style w:type="table" w:default="1" w:styleId="34">
    <w:name w:val="Normal Table"/>
    <w:semiHidden/>
    <w:qFormat/>
    <w:uiPriority w:val="0"/>
    <w:tblPr>
      <w:tblLayout w:type="fixed"/>
      <w:tblCellMar>
        <w:top w:w="0" w:type="dxa"/>
        <w:left w:w="108" w:type="dxa"/>
        <w:bottom w:w="0" w:type="dxa"/>
        <w:right w:w="108" w:type="dxa"/>
      </w:tblCellMar>
    </w:tblPr>
  </w:style>
  <w:style w:type="paragraph" w:styleId="2">
    <w:name w:val="toc 7"/>
    <w:basedOn w:val="1"/>
    <w:next w:val="1"/>
    <w:semiHidden/>
    <w:qFormat/>
    <w:uiPriority w:val="0"/>
    <w:pPr>
      <w:tabs>
        <w:tab w:val="right" w:leader="dot" w:pos="9241"/>
      </w:tabs>
      <w:ind w:firstLine="505" w:firstLineChars="500"/>
      <w:jc w:val="left"/>
    </w:pPr>
    <w:rPr>
      <w:rFonts w:ascii="宋体"/>
      <w:szCs w:val="21"/>
    </w:rPr>
  </w:style>
  <w:style w:type="paragraph" w:styleId="3">
    <w:name w:val="index 8"/>
    <w:basedOn w:val="1"/>
    <w:next w:val="1"/>
    <w:qFormat/>
    <w:uiPriority w:val="0"/>
    <w:pPr>
      <w:ind w:left="1680" w:hanging="210"/>
      <w:jc w:val="left"/>
    </w:pPr>
    <w:rPr>
      <w:rFonts w:ascii="Calibri" w:hAnsi="Calibri"/>
      <w:sz w:val="20"/>
      <w:szCs w:val="20"/>
    </w:rPr>
  </w:style>
  <w:style w:type="paragraph" w:styleId="4">
    <w:name w:val="caption"/>
    <w:basedOn w:val="1"/>
    <w:next w:val="1"/>
    <w:qFormat/>
    <w:uiPriority w:val="0"/>
    <w:pPr>
      <w:spacing w:before="152" w:after="160"/>
    </w:pPr>
    <w:rPr>
      <w:rFonts w:ascii="Arial" w:hAnsi="Arial" w:eastAsia="黑体" w:cs="Arial"/>
      <w:sz w:val="20"/>
      <w:szCs w:val="20"/>
    </w:rPr>
  </w:style>
  <w:style w:type="paragraph" w:styleId="5">
    <w:name w:val="index 5"/>
    <w:basedOn w:val="1"/>
    <w:next w:val="1"/>
    <w:qFormat/>
    <w:uiPriority w:val="0"/>
    <w:pPr>
      <w:ind w:left="1050" w:hanging="210"/>
      <w:jc w:val="left"/>
    </w:pPr>
    <w:rPr>
      <w:rFonts w:ascii="Calibri" w:hAnsi="Calibri"/>
      <w:sz w:val="20"/>
      <w:szCs w:val="20"/>
    </w:rPr>
  </w:style>
  <w:style w:type="paragraph" w:styleId="6">
    <w:name w:val="Document Map"/>
    <w:basedOn w:val="1"/>
    <w:semiHidden/>
    <w:qFormat/>
    <w:uiPriority w:val="0"/>
    <w:pPr>
      <w:shd w:val="clear" w:color="auto" w:fill="000080"/>
    </w:pPr>
  </w:style>
  <w:style w:type="paragraph" w:styleId="7">
    <w:name w:val="index 6"/>
    <w:basedOn w:val="1"/>
    <w:next w:val="1"/>
    <w:qFormat/>
    <w:uiPriority w:val="0"/>
    <w:pPr>
      <w:ind w:left="1260" w:hanging="210"/>
      <w:jc w:val="left"/>
    </w:pPr>
    <w:rPr>
      <w:rFonts w:ascii="Calibri" w:hAnsi="Calibri"/>
      <w:sz w:val="20"/>
      <w:szCs w:val="20"/>
    </w:rPr>
  </w:style>
  <w:style w:type="paragraph" w:styleId="8">
    <w:name w:val="index 4"/>
    <w:basedOn w:val="1"/>
    <w:next w:val="1"/>
    <w:qFormat/>
    <w:uiPriority w:val="0"/>
    <w:pPr>
      <w:ind w:left="840" w:hanging="210"/>
      <w:jc w:val="left"/>
    </w:pPr>
    <w:rPr>
      <w:rFonts w:ascii="Calibri" w:hAnsi="Calibri"/>
      <w:sz w:val="20"/>
      <w:szCs w:val="20"/>
    </w:rPr>
  </w:style>
  <w:style w:type="paragraph" w:styleId="9">
    <w:name w:val="toc 5"/>
    <w:basedOn w:val="1"/>
    <w:next w:val="1"/>
    <w:semiHidden/>
    <w:qFormat/>
    <w:uiPriority w:val="0"/>
    <w:pPr>
      <w:tabs>
        <w:tab w:val="right" w:leader="dot" w:pos="9241"/>
      </w:tabs>
      <w:ind w:firstLine="300" w:firstLineChars="300"/>
      <w:jc w:val="left"/>
    </w:pPr>
    <w:rPr>
      <w:rFonts w:ascii="宋体"/>
      <w:szCs w:val="21"/>
    </w:rPr>
  </w:style>
  <w:style w:type="paragraph" w:styleId="10">
    <w:name w:val="toc 3"/>
    <w:basedOn w:val="1"/>
    <w:next w:val="1"/>
    <w:semiHidden/>
    <w:qFormat/>
    <w:uiPriority w:val="0"/>
    <w:pPr>
      <w:tabs>
        <w:tab w:val="right" w:leader="dot" w:pos="9241"/>
      </w:tabs>
      <w:ind w:firstLine="102" w:firstLineChars="100"/>
      <w:jc w:val="left"/>
    </w:pPr>
    <w:rPr>
      <w:rFonts w:ascii="宋体"/>
      <w:szCs w:val="21"/>
    </w:rPr>
  </w:style>
  <w:style w:type="paragraph" w:styleId="11">
    <w:name w:val="toc 8"/>
    <w:basedOn w:val="1"/>
    <w:next w:val="1"/>
    <w:semiHidden/>
    <w:qFormat/>
    <w:uiPriority w:val="0"/>
    <w:pPr>
      <w:tabs>
        <w:tab w:val="right" w:leader="dot" w:pos="9241"/>
      </w:tabs>
      <w:ind w:firstLine="607" w:firstLineChars="600"/>
      <w:jc w:val="left"/>
    </w:pPr>
    <w:rPr>
      <w:rFonts w:ascii="宋体"/>
      <w:szCs w:val="21"/>
    </w:rPr>
  </w:style>
  <w:style w:type="paragraph" w:styleId="12">
    <w:name w:val="index 3"/>
    <w:basedOn w:val="1"/>
    <w:next w:val="1"/>
    <w:qFormat/>
    <w:uiPriority w:val="0"/>
    <w:pPr>
      <w:ind w:left="630" w:hanging="210"/>
      <w:jc w:val="left"/>
    </w:pPr>
    <w:rPr>
      <w:rFonts w:ascii="Calibri" w:hAnsi="Calibri"/>
      <w:sz w:val="20"/>
      <w:szCs w:val="20"/>
    </w:rPr>
  </w:style>
  <w:style w:type="paragraph" w:styleId="13">
    <w:name w:val="endnote text"/>
    <w:basedOn w:val="1"/>
    <w:semiHidden/>
    <w:qFormat/>
    <w:uiPriority w:val="0"/>
    <w:pPr>
      <w:snapToGrid w:val="0"/>
      <w:jc w:val="left"/>
    </w:pPr>
  </w:style>
  <w:style w:type="paragraph" w:styleId="14">
    <w:name w:val="footer"/>
    <w:basedOn w:val="1"/>
    <w:qFormat/>
    <w:uiPriority w:val="0"/>
    <w:pPr>
      <w:snapToGrid w:val="0"/>
      <w:ind w:right="210" w:rightChars="100"/>
      <w:jc w:val="right"/>
    </w:pPr>
    <w:rPr>
      <w:sz w:val="18"/>
      <w:szCs w:val="18"/>
    </w:rPr>
  </w:style>
  <w:style w:type="paragraph" w:styleId="15">
    <w:name w:val="header"/>
    <w:basedOn w:val="1"/>
    <w:qFormat/>
    <w:uiPriority w:val="0"/>
    <w:pPr>
      <w:snapToGrid w:val="0"/>
      <w:jc w:val="left"/>
    </w:pPr>
    <w:rPr>
      <w:sz w:val="18"/>
      <w:szCs w:val="18"/>
    </w:rPr>
  </w:style>
  <w:style w:type="paragraph" w:styleId="16">
    <w:name w:val="toc 1"/>
    <w:basedOn w:val="1"/>
    <w:next w:val="1"/>
    <w:semiHidden/>
    <w:qFormat/>
    <w:uiPriority w:val="0"/>
    <w:pPr>
      <w:tabs>
        <w:tab w:val="right" w:leader="dot" w:pos="9241"/>
      </w:tabs>
      <w:spacing w:before="25" w:beforeLines="25" w:after="25" w:afterLines="25"/>
      <w:jc w:val="left"/>
    </w:pPr>
    <w:rPr>
      <w:rFonts w:ascii="宋体"/>
      <w:szCs w:val="21"/>
    </w:rPr>
  </w:style>
  <w:style w:type="paragraph" w:styleId="17">
    <w:name w:val="toc 4"/>
    <w:basedOn w:val="1"/>
    <w:next w:val="1"/>
    <w:semiHidden/>
    <w:qFormat/>
    <w:uiPriority w:val="0"/>
    <w:pPr>
      <w:tabs>
        <w:tab w:val="right" w:leader="dot" w:pos="9241"/>
      </w:tabs>
      <w:ind w:firstLine="198" w:firstLineChars="200"/>
      <w:jc w:val="left"/>
    </w:pPr>
    <w:rPr>
      <w:rFonts w:ascii="宋体"/>
      <w:szCs w:val="21"/>
    </w:rPr>
  </w:style>
  <w:style w:type="paragraph" w:styleId="18">
    <w:name w:val="index heading"/>
    <w:basedOn w:val="1"/>
    <w:next w:val="19"/>
    <w:qFormat/>
    <w:uiPriority w:val="0"/>
    <w:pPr>
      <w:spacing w:before="120" w:after="120"/>
      <w:jc w:val="center"/>
    </w:pPr>
    <w:rPr>
      <w:rFonts w:ascii="Calibri" w:hAnsi="Calibri"/>
      <w:b/>
      <w:bCs/>
      <w:iCs/>
      <w:szCs w:val="20"/>
    </w:rPr>
  </w:style>
  <w:style w:type="paragraph" w:styleId="19">
    <w:name w:val="index 1"/>
    <w:basedOn w:val="1"/>
    <w:next w:val="20"/>
    <w:qFormat/>
    <w:uiPriority w:val="0"/>
    <w:pPr>
      <w:tabs>
        <w:tab w:val="right" w:leader="dot" w:pos="9299"/>
      </w:tabs>
      <w:jc w:val="left"/>
    </w:pPr>
    <w:rPr>
      <w:rFonts w:ascii="宋体"/>
      <w:szCs w:val="21"/>
    </w:rPr>
  </w:style>
  <w:style w:type="paragraph" w:customStyle="1" w:styleId="20">
    <w:name w:val="段"/>
    <w:link w:val="129"/>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styleId="21">
    <w:name w:val="footnote text"/>
    <w:basedOn w:val="1"/>
    <w:qFormat/>
    <w:uiPriority w:val="0"/>
    <w:pPr>
      <w:numPr>
        <w:ilvl w:val="0"/>
        <w:numId w:val="1"/>
      </w:numPr>
      <w:snapToGrid w:val="0"/>
      <w:jc w:val="left"/>
    </w:pPr>
    <w:rPr>
      <w:rFonts w:ascii="宋体"/>
      <w:sz w:val="18"/>
      <w:szCs w:val="18"/>
    </w:rPr>
  </w:style>
  <w:style w:type="paragraph" w:styleId="22">
    <w:name w:val="toc 6"/>
    <w:basedOn w:val="1"/>
    <w:next w:val="1"/>
    <w:semiHidden/>
    <w:qFormat/>
    <w:uiPriority w:val="0"/>
    <w:pPr>
      <w:tabs>
        <w:tab w:val="right" w:leader="dot" w:pos="9241"/>
      </w:tabs>
      <w:ind w:firstLine="403" w:firstLineChars="400"/>
      <w:jc w:val="left"/>
    </w:pPr>
    <w:rPr>
      <w:rFonts w:ascii="宋体"/>
      <w:szCs w:val="21"/>
    </w:rPr>
  </w:style>
  <w:style w:type="paragraph" w:styleId="23">
    <w:name w:val="index 7"/>
    <w:basedOn w:val="1"/>
    <w:next w:val="1"/>
    <w:qFormat/>
    <w:uiPriority w:val="0"/>
    <w:pPr>
      <w:ind w:left="1470" w:hanging="210"/>
      <w:jc w:val="left"/>
    </w:pPr>
    <w:rPr>
      <w:rFonts w:ascii="Calibri" w:hAnsi="Calibri"/>
      <w:sz w:val="20"/>
      <w:szCs w:val="20"/>
    </w:rPr>
  </w:style>
  <w:style w:type="paragraph" w:styleId="24">
    <w:name w:val="index 9"/>
    <w:basedOn w:val="1"/>
    <w:next w:val="1"/>
    <w:qFormat/>
    <w:uiPriority w:val="0"/>
    <w:pPr>
      <w:ind w:left="1890" w:hanging="210"/>
      <w:jc w:val="left"/>
    </w:pPr>
    <w:rPr>
      <w:rFonts w:ascii="Calibri" w:hAnsi="Calibri"/>
      <w:sz w:val="20"/>
      <w:szCs w:val="20"/>
    </w:rPr>
  </w:style>
  <w:style w:type="paragraph" w:styleId="25">
    <w:name w:val="toc 2"/>
    <w:basedOn w:val="1"/>
    <w:next w:val="1"/>
    <w:semiHidden/>
    <w:qFormat/>
    <w:uiPriority w:val="0"/>
    <w:pPr>
      <w:tabs>
        <w:tab w:val="right" w:leader="dot" w:pos="9241"/>
      </w:tabs>
    </w:pPr>
    <w:rPr>
      <w:rFonts w:ascii="宋体"/>
      <w:szCs w:val="21"/>
    </w:rPr>
  </w:style>
  <w:style w:type="paragraph" w:styleId="26">
    <w:name w:val="toc 9"/>
    <w:basedOn w:val="1"/>
    <w:next w:val="1"/>
    <w:semiHidden/>
    <w:qFormat/>
    <w:uiPriority w:val="0"/>
    <w:pPr>
      <w:ind w:left="1470"/>
      <w:jc w:val="left"/>
    </w:pPr>
    <w:rPr>
      <w:sz w:val="20"/>
      <w:szCs w:val="20"/>
    </w:rPr>
  </w:style>
  <w:style w:type="paragraph" w:styleId="27">
    <w:name w:val="index 2"/>
    <w:basedOn w:val="1"/>
    <w:next w:val="1"/>
    <w:qFormat/>
    <w:uiPriority w:val="0"/>
    <w:pPr>
      <w:ind w:left="420" w:hanging="210"/>
      <w:jc w:val="left"/>
    </w:pPr>
    <w:rPr>
      <w:rFonts w:ascii="Calibri" w:hAnsi="Calibri"/>
      <w:sz w:val="20"/>
      <w:szCs w:val="20"/>
    </w:rPr>
  </w:style>
  <w:style w:type="character" w:styleId="29">
    <w:name w:val="endnote reference"/>
    <w:basedOn w:val="28"/>
    <w:semiHidden/>
    <w:qFormat/>
    <w:uiPriority w:val="0"/>
    <w:rPr>
      <w:vertAlign w:val="superscript"/>
    </w:rPr>
  </w:style>
  <w:style w:type="character" w:styleId="30">
    <w:name w:val="page number"/>
    <w:basedOn w:val="28"/>
    <w:qFormat/>
    <w:uiPriority w:val="0"/>
    <w:rPr>
      <w:rFonts w:ascii="Times New Roman" w:hAnsi="Times New Roman" w:eastAsia="宋体"/>
      <w:sz w:val="18"/>
    </w:rPr>
  </w:style>
  <w:style w:type="character" w:styleId="31">
    <w:name w:val="FollowedHyperlink"/>
    <w:basedOn w:val="28"/>
    <w:qFormat/>
    <w:uiPriority w:val="0"/>
    <w:rPr>
      <w:color w:val="800080"/>
      <w:u w:val="single"/>
    </w:rPr>
  </w:style>
  <w:style w:type="character" w:styleId="32">
    <w:name w:val="Hyperlink"/>
    <w:basedOn w:val="28"/>
    <w:qFormat/>
    <w:uiPriority w:val="0"/>
    <w:rPr>
      <w:color w:val="0000FF"/>
      <w:spacing w:val="0"/>
      <w:w w:val="100"/>
      <w:szCs w:val="21"/>
      <w:u w:val="single"/>
    </w:rPr>
  </w:style>
  <w:style w:type="character" w:styleId="33">
    <w:name w:val="footnote reference"/>
    <w:basedOn w:val="28"/>
    <w:semiHidden/>
    <w:qFormat/>
    <w:uiPriority w:val="0"/>
    <w:rPr>
      <w:vertAlign w:val="superscript"/>
    </w:rPr>
  </w:style>
  <w:style w:type="table" w:styleId="35">
    <w:name w:val="Table Grid"/>
    <w:basedOn w:val="34"/>
    <w:qFormat/>
    <w:uiPriority w:val="0"/>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
  </w:style>
  <w:style w:type="paragraph" w:customStyle="1" w:styleId="36">
    <w:name w:val="一级条标题"/>
    <w:next w:val="20"/>
    <w:qFormat/>
    <w:uiPriority w:val="0"/>
    <w:pPr>
      <w:numPr>
        <w:ilvl w:val="1"/>
        <w:numId w:val="2"/>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37">
    <w:name w:val="二级条标题"/>
    <w:basedOn w:val="36"/>
    <w:next w:val="20"/>
    <w:qFormat/>
    <w:uiPriority w:val="0"/>
    <w:pPr>
      <w:numPr>
        <w:ilvl w:val="2"/>
        <w:numId w:val="2"/>
      </w:numPr>
      <w:spacing w:before="50" w:after="50"/>
      <w:outlineLvl w:val="3"/>
    </w:pPr>
  </w:style>
  <w:style w:type="paragraph" w:customStyle="1" w:styleId="38">
    <w:name w:val="章标题"/>
    <w:next w:val="20"/>
    <w:qFormat/>
    <w:uiPriority w:val="0"/>
    <w:pPr>
      <w:numPr>
        <w:ilvl w:val="0"/>
        <w:numId w:val="2"/>
      </w:numPr>
      <w:spacing w:before="312" w:beforeLines="100" w:after="312" w:afterLines="100"/>
      <w:jc w:val="both"/>
      <w:outlineLvl w:val="1"/>
    </w:pPr>
    <w:rPr>
      <w:rFonts w:ascii="黑体" w:hAnsi="Times New Roman" w:eastAsia="黑体" w:cs="Times New Roman"/>
      <w:sz w:val="21"/>
      <w:lang w:val="en-US" w:eastAsia="zh-CN" w:bidi="ar-SA"/>
    </w:rPr>
  </w:style>
  <w:style w:type="paragraph" w:customStyle="1" w:styleId="39">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40">
    <w:name w:val="四级条标题"/>
    <w:basedOn w:val="41"/>
    <w:next w:val="20"/>
    <w:qFormat/>
    <w:uiPriority w:val="0"/>
    <w:pPr>
      <w:numPr>
        <w:ilvl w:val="4"/>
        <w:numId w:val="2"/>
      </w:numPr>
      <w:outlineLvl w:val="5"/>
    </w:pPr>
  </w:style>
  <w:style w:type="paragraph" w:customStyle="1" w:styleId="41">
    <w:name w:val="三级条标题"/>
    <w:basedOn w:val="37"/>
    <w:next w:val="20"/>
    <w:qFormat/>
    <w:uiPriority w:val="0"/>
    <w:pPr>
      <w:numPr>
        <w:ilvl w:val="3"/>
        <w:numId w:val="2"/>
      </w:numPr>
      <w:outlineLvl w:val="4"/>
    </w:pPr>
  </w:style>
  <w:style w:type="paragraph" w:customStyle="1" w:styleId="42">
    <w:name w:val="封面标准文稿编辑信息"/>
    <w:basedOn w:val="43"/>
    <w:qFormat/>
    <w:uiPriority w:val="0"/>
    <w:pPr>
      <w:spacing w:before="180" w:line="180" w:lineRule="exact"/>
    </w:pPr>
    <w:rPr>
      <w:sz w:val="21"/>
    </w:rPr>
  </w:style>
  <w:style w:type="paragraph" w:customStyle="1" w:styleId="43">
    <w:name w:val="封面标准文稿类别"/>
    <w:basedOn w:val="44"/>
    <w:qFormat/>
    <w:uiPriority w:val="0"/>
    <w:pPr>
      <w:spacing w:after="160" w:line="240" w:lineRule="auto"/>
    </w:pPr>
    <w:rPr>
      <w:sz w:val="24"/>
    </w:rPr>
  </w:style>
  <w:style w:type="paragraph" w:customStyle="1" w:styleId="44">
    <w:name w:val="封面一致性程度标识"/>
    <w:basedOn w:val="45"/>
    <w:qFormat/>
    <w:uiPriority w:val="0"/>
    <w:pPr>
      <w:spacing w:before="440"/>
    </w:pPr>
    <w:rPr>
      <w:rFonts w:ascii="宋体" w:eastAsia="宋体"/>
    </w:rPr>
  </w:style>
  <w:style w:type="paragraph" w:customStyle="1" w:styleId="45">
    <w:name w:val="封面标准英文名称"/>
    <w:basedOn w:val="46"/>
    <w:qFormat/>
    <w:uiPriority w:val="0"/>
    <w:pPr>
      <w:spacing w:before="370" w:line="400" w:lineRule="exact"/>
    </w:pPr>
    <w:rPr>
      <w:rFonts w:ascii="Times New Roman"/>
      <w:sz w:val="28"/>
      <w:szCs w:val="28"/>
    </w:rPr>
  </w:style>
  <w:style w:type="paragraph" w:customStyle="1" w:styleId="46">
    <w:name w:val="封面标准名称"/>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47">
    <w:name w:val="五级无"/>
    <w:basedOn w:val="48"/>
    <w:qFormat/>
    <w:uiPriority w:val="0"/>
    <w:pPr>
      <w:spacing w:before="0" w:beforeLines="0" w:after="0" w:afterLines="0"/>
    </w:pPr>
    <w:rPr>
      <w:rFonts w:ascii="宋体" w:eastAsia="宋体"/>
    </w:rPr>
  </w:style>
  <w:style w:type="paragraph" w:customStyle="1" w:styleId="48">
    <w:name w:val="五级条标题"/>
    <w:basedOn w:val="40"/>
    <w:next w:val="20"/>
    <w:qFormat/>
    <w:uiPriority w:val="0"/>
    <w:pPr>
      <w:numPr>
        <w:ilvl w:val="5"/>
        <w:numId w:val="2"/>
      </w:numPr>
      <w:outlineLvl w:val="6"/>
    </w:pPr>
  </w:style>
  <w:style w:type="paragraph" w:customStyle="1" w:styleId="49">
    <w:name w:val="标准书眉一"/>
    <w:qFormat/>
    <w:uiPriority w:val="0"/>
    <w:pPr>
      <w:jc w:val="both"/>
    </w:pPr>
    <w:rPr>
      <w:rFonts w:ascii="Times New Roman" w:hAnsi="Times New Roman" w:eastAsia="宋体" w:cs="Times New Roman"/>
      <w:lang w:val="en-US" w:eastAsia="zh-CN" w:bidi="ar-SA"/>
    </w:rPr>
  </w:style>
  <w:style w:type="paragraph" w:customStyle="1" w:styleId="50">
    <w:name w:val="示例内容"/>
    <w:qFormat/>
    <w:uiPriority w:val="0"/>
    <w:pPr>
      <w:ind w:firstLine="200" w:firstLineChars="200"/>
    </w:pPr>
    <w:rPr>
      <w:rFonts w:ascii="宋体" w:hAnsi="Times New Roman" w:eastAsia="宋体" w:cs="Times New Roman"/>
      <w:sz w:val="18"/>
      <w:szCs w:val="18"/>
      <w:lang w:val="en-US" w:eastAsia="zh-CN" w:bidi="ar-SA"/>
    </w:rPr>
  </w:style>
  <w:style w:type="paragraph" w:customStyle="1" w:styleId="51">
    <w:name w:val="注：（正文）"/>
    <w:basedOn w:val="52"/>
    <w:next w:val="20"/>
    <w:qFormat/>
    <w:uiPriority w:val="0"/>
  </w:style>
  <w:style w:type="paragraph" w:customStyle="1" w:styleId="52">
    <w:name w:val="注："/>
    <w:next w:val="20"/>
    <w:qFormat/>
    <w:uiPriority w:val="0"/>
    <w:pPr>
      <w:widowControl w:val="0"/>
      <w:numPr>
        <w:ilvl w:val="0"/>
        <w:numId w:val="3"/>
      </w:numPr>
      <w:autoSpaceDE w:val="0"/>
      <w:autoSpaceDN w:val="0"/>
      <w:jc w:val="both"/>
    </w:pPr>
    <w:rPr>
      <w:rFonts w:ascii="宋体" w:hAnsi="Times New Roman" w:eastAsia="宋体" w:cs="Times New Roman"/>
      <w:sz w:val="18"/>
      <w:szCs w:val="18"/>
      <w:lang w:val="en-US" w:eastAsia="zh-CN" w:bidi="ar-SA"/>
    </w:rPr>
  </w:style>
  <w:style w:type="paragraph" w:customStyle="1" w:styleId="53">
    <w:name w:val="列项●（二级）"/>
    <w:qFormat/>
    <w:uiPriority w:val="0"/>
    <w:pPr>
      <w:numPr>
        <w:ilvl w:val="1"/>
        <w:numId w:val="4"/>
      </w:numPr>
      <w:tabs>
        <w:tab w:val="left" w:pos="840"/>
      </w:tabs>
      <w:jc w:val="both"/>
    </w:pPr>
    <w:rPr>
      <w:rFonts w:ascii="宋体" w:hAnsi="Times New Roman" w:eastAsia="宋体" w:cs="Times New Roman"/>
      <w:sz w:val="21"/>
      <w:lang w:val="en-US" w:eastAsia="zh-CN" w:bidi="ar-SA"/>
    </w:rPr>
  </w:style>
  <w:style w:type="paragraph" w:customStyle="1" w:styleId="54">
    <w:name w:val="目次、标准名称标题"/>
    <w:basedOn w:val="1"/>
    <w:next w:val="20"/>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55">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56">
    <w:name w:val="标准标志"/>
    <w:next w:val="1"/>
    <w:qFormat/>
    <w:uiPriority w:val="0"/>
    <w:pPr>
      <w:framePr w:w="2546" w:h="1389" w:hRule="exact" w:hSpace="181" w:vSpace="181" w:wrap="around" w:vAnchor="margin" w:hAnchor="margin" w:x="6522" w:y="398" w:anchorLock="1"/>
      <w:shd w:val="solid" w:color="FFFFFF" w:fill="FFFFFF"/>
      <w:spacing w:line="0" w:lineRule="atLeast"/>
      <w:jc w:val="right"/>
    </w:pPr>
    <w:rPr>
      <w:rFonts w:ascii="Times New Roman" w:hAnsi="Times New Roman" w:eastAsia="宋体" w:cs="Times New Roman"/>
      <w:b/>
      <w:w w:val="170"/>
      <w:sz w:val="96"/>
      <w:szCs w:val="96"/>
      <w:lang w:val="en-US" w:eastAsia="zh-CN" w:bidi="ar-SA"/>
    </w:rPr>
  </w:style>
  <w:style w:type="paragraph" w:customStyle="1" w:styleId="57">
    <w:name w:val="封面标准号2"/>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58">
    <w:name w:val="列项——（一级）"/>
    <w:qFormat/>
    <w:uiPriority w:val="0"/>
    <w:pPr>
      <w:widowControl w:val="0"/>
      <w:numPr>
        <w:ilvl w:val="0"/>
        <w:numId w:val="4"/>
      </w:numPr>
      <w:jc w:val="both"/>
    </w:pPr>
    <w:rPr>
      <w:rFonts w:ascii="宋体" w:hAnsi="Times New Roman" w:eastAsia="宋体" w:cs="Times New Roman"/>
      <w:sz w:val="21"/>
      <w:lang w:val="en-US" w:eastAsia="zh-CN" w:bidi="ar-SA"/>
    </w:rPr>
  </w:style>
  <w:style w:type="paragraph" w:customStyle="1" w:styleId="59">
    <w:name w:val="示例×："/>
    <w:basedOn w:val="38"/>
    <w:qFormat/>
    <w:uiPriority w:val="0"/>
    <w:pPr>
      <w:numPr>
        <w:ilvl w:val="0"/>
        <w:numId w:val="5"/>
      </w:numPr>
      <w:spacing w:before="0" w:beforeLines="0" w:after="0" w:afterLines="0"/>
      <w:outlineLvl w:val="9"/>
    </w:pPr>
    <w:rPr>
      <w:rFonts w:ascii="宋体" w:eastAsia="宋体"/>
      <w:sz w:val="18"/>
      <w:szCs w:val="18"/>
    </w:rPr>
  </w:style>
  <w:style w:type="paragraph" w:customStyle="1" w:styleId="60">
    <w:name w:val="示例"/>
    <w:next w:val="50"/>
    <w:qFormat/>
    <w:uiPriority w:val="0"/>
    <w:pPr>
      <w:widowControl w:val="0"/>
      <w:numPr>
        <w:ilvl w:val="0"/>
        <w:numId w:val="6"/>
      </w:numPr>
      <w:jc w:val="both"/>
    </w:pPr>
    <w:rPr>
      <w:rFonts w:ascii="宋体" w:hAnsi="Times New Roman" w:eastAsia="宋体" w:cs="Times New Roman"/>
      <w:sz w:val="18"/>
      <w:szCs w:val="18"/>
      <w:lang w:val="en-US" w:eastAsia="zh-CN" w:bidi="ar-SA"/>
    </w:rPr>
  </w:style>
  <w:style w:type="paragraph" w:customStyle="1" w:styleId="61">
    <w:name w:val="编号列项（三级）"/>
    <w:qFormat/>
    <w:uiPriority w:val="0"/>
    <w:pPr>
      <w:numPr>
        <w:ilvl w:val="2"/>
        <w:numId w:val="7"/>
      </w:numPr>
    </w:pPr>
    <w:rPr>
      <w:rFonts w:ascii="宋体" w:hAnsi="Times New Roman" w:eastAsia="宋体" w:cs="Times New Roman"/>
      <w:sz w:val="21"/>
      <w:lang w:val="en-US" w:eastAsia="zh-CN" w:bidi="ar-SA"/>
    </w:rPr>
  </w:style>
  <w:style w:type="paragraph" w:customStyle="1" w:styleId="62">
    <w:name w:val="数字编号列项（二级）"/>
    <w:qFormat/>
    <w:uiPriority w:val="0"/>
    <w:pPr>
      <w:numPr>
        <w:ilvl w:val="1"/>
        <w:numId w:val="7"/>
      </w:numPr>
      <w:jc w:val="both"/>
    </w:pPr>
    <w:rPr>
      <w:rFonts w:ascii="宋体" w:hAnsi="Times New Roman" w:eastAsia="宋体" w:cs="Times New Roman"/>
      <w:sz w:val="21"/>
      <w:lang w:val="en-US" w:eastAsia="zh-CN" w:bidi="ar-SA"/>
    </w:rPr>
  </w:style>
  <w:style w:type="paragraph" w:customStyle="1" w:styleId="63">
    <w:name w:val="附录数字编号列项（二级）"/>
    <w:qFormat/>
    <w:uiPriority w:val="0"/>
    <w:pPr>
      <w:numPr>
        <w:ilvl w:val="1"/>
        <w:numId w:val="8"/>
      </w:numPr>
    </w:pPr>
    <w:rPr>
      <w:rFonts w:ascii="宋体" w:hAnsi="Times New Roman" w:eastAsia="宋体" w:cs="Times New Roman"/>
      <w:sz w:val="21"/>
      <w:lang w:val="en-US" w:eastAsia="zh-CN" w:bidi="ar-SA"/>
    </w:rPr>
  </w:style>
  <w:style w:type="paragraph" w:customStyle="1" w:styleId="64">
    <w:name w:val="参考文献、索引标题"/>
    <w:basedOn w:val="1"/>
    <w:next w:val="20"/>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65">
    <w:name w:val="注×："/>
    <w:qFormat/>
    <w:uiPriority w:val="0"/>
    <w:pPr>
      <w:widowControl w:val="0"/>
      <w:numPr>
        <w:ilvl w:val="0"/>
        <w:numId w:val="9"/>
      </w:numPr>
      <w:autoSpaceDE w:val="0"/>
      <w:autoSpaceDN w:val="0"/>
      <w:jc w:val="both"/>
    </w:pPr>
    <w:rPr>
      <w:rFonts w:ascii="宋体" w:hAnsi="Times New Roman" w:eastAsia="宋体" w:cs="Times New Roman"/>
      <w:sz w:val="18"/>
      <w:szCs w:val="18"/>
      <w:lang w:val="en-US" w:eastAsia="zh-CN" w:bidi="ar-SA"/>
    </w:rPr>
  </w:style>
  <w:style w:type="paragraph" w:customStyle="1" w:styleId="66">
    <w:name w:val="字母编号列项（一级）"/>
    <w:qFormat/>
    <w:uiPriority w:val="0"/>
    <w:pPr>
      <w:numPr>
        <w:ilvl w:val="0"/>
        <w:numId w:val="7"/>
      </w:numPr>
      <w:jc w:val="both"/>
    </w:pPr>
    <w:rPr>
      <w:rFonts w:ascii="宋体" w:hAnsi="Times New Roman" w:eastAsia="宋体" w:cs="Times New Roman"/>
      <w:sz w:val="21"/>
      <w:lang w:val="en-US" w:eastAsia="zh-CN" w:bidi="ar-SA"/>
    </w:rPr>
  </w:style>
  <w:style w:type="paragraph" w:customStyle="1" w:styleId="67">
    <w:name w:val="附录章标题"/>
    <w:next w:val="20"/>
    <w:qFormat/>
    <w:uiPriority w:val="0"/>
    <w:pPr>
      <w:numPr>
        <w:ilvl w:val="1"/>
        <w:numId w:val="10"/>
      </w:numPr>
      <w:tabs>
        <w:tab w:val="left" w:pos="360"/>
      </w:tabs>
      <w:wordWrap w:val="0"/>
      <w:overflowPunct w:val="0"/>
      <w:autoSpaceDE w:val="0"/>
      <w:spacing w:before="100" w:beforeLines="100" w:after="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68">
    <w:name w:val="列项◆（三级）"/>
    <w:basedOn w:val="1"/>
    <w:qFormat/>
    <w:uiPriority w:val="0"/>
    <w:pPr>
      <w:numPr>
        <w:ilvl w:val="2"/>
        <w:numId w:val="4"/>
      </w:numPr>
    </w:pPr>
    <w:rPr>
      <w:rFonts w:ascii="宋体"/>
      <w:szCs w:val="21"/>
    </w:rPr>
  </w:style>
  <w:style w:type="paragraph" w:customStyle="1" w:styleId="69">
    <w:name w:val="二级无"/>
    <w:basedOn w:val="37"/>
    <w:qFormat/>
    <w:uiPriority w:val="0"/>
    <w:pPr>
      <w:spacing w:before="0" w:beforeLines="0" w:after="0" w:afterLines="0"/>
      <w:ind w:left="0" w:firstLine="0"/>
    </w:pPr>
    <w:rPr>
      <w:rFonts w:ascii="宋体" w:eastAsia="宋体"/>
    </w:rPr>
  </w:style>
  <w:style w:type="paragraph" w:customStyle="1" w:styleId="70">
    <w:name w:val="注×：（正文）"/>
    <w:qFormat/>
    <w:uiPriority w:val="0"/>
    <w:pPr>
      <w:numPr>
        <w:ilvl w:val="0"/>
        <w:numId w:val="11"/>
      </w:numPr>
      <w:jc w:val="both"/>
    </w:pPr>
    <w:rPr>
      <w:rFonts w:ascii="宋体" w:hAnsi="Times New Roman" w:eastAsia="宋体" w:cs="Times New Roman"/>
      <w:sz w:val="18"/>
      <w:szCs w:val="18"/>
      <w:lang w:val="en-US" w:eastAsia="zh-CN" w:bidi="ar-SA"/>
    </w:rPr>
  </w:style>
  <w:style w:type="paragraph" w:customStyle="1" w:styleId="71">
    <w:name w:val="标准称谓"/>
    <w:next w:val="1"/>
    <w:qFormat/>
    <w:uiPriority w:val="0"/>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hAnsi="Times New Roman" w:eastAsia="宋体" w:cs="Times New Roman"/>
      <w:b/>
      <w:bCs/>
      <w:spacing w:val="20"/>
      <w:w w:val="148"/>
      <w:sz w:val="48"/>
      <w:lang w:val="en-US" w:eastAsia="zh-CN" w:bidi="ar-SA"/>
    </w:rPr>
  </w:style>
  <w:style w:type="paragraph" w:customStyle="1" w:styleId="72">
    <w:name w:val="标准书脚_偶数页"/>
    <w:qFormat/>
    <w:uiPriority w:val="0"/>
    <w:pPr>
      <w:spacing w:before="120"/>
      <w:ind w:left="221"/>
    </w:pPr>
    <w:rPr>
      <w:rFonts w:ascii="宋体" w:hAnsi="Times New Roman" w:eastAsia="宋体" w:cs="Times New Roman"/>
      <w:sz w:val="18"/>
      <w:szCs w:val="18"/>
      <w:lang w:val="en-US" w:eastAsia="zh-CN" w:bidi="ar-SA"/>
    </w:rPr>
  </w:style>
  <w:style w:type="paragraph" w:customStyle="1" w:styleId="73">
    <w:name w:val="标准书眉_偶数页"/>
    <w:basedOn w:val="39"/>
    <w:next w:val="1"/>
    <w:qFormat/>
    <w:uiPriority w:val="0"/>
    <w:pPr>
      <w:jc w:val="left"/>
    </w:pPr>
    <w:rPr>
      <w:rFonts w:ascii="黑体" w:eastAsia="黑体"/>
    </w:rPr>
  </w:style>
  <w:style w:type="paragraph" w:customStyle="1" w:styleId="74">
    <w:name w:val="参考文献"/>
    <w:basedOn w:val="1"/>
    <w:next w:val="20"/>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75">
    <w:name w:val="发布部门"/>
    <w:next w:val="20"/>
    <w:qFormat/>
    <w:uiPriority w:val="0"/>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76">
    <w:name w:val="发布日期"/>
    <w:qFormat/>
    <w:uiPriority w:val="0"/>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77">
    <w:name w:val="封面标准代替信息"/>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78">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79">
    <w:name w:val="封面正文"/>
    <w:qFormat/>
    <w:uiPriority w:val="0"/>
    <w:pPr>
      <w:jc w:val="both"/>
    </w:pPr>
    <w:rPr>
      <w:rFonts w:ascii="Times New Roman" w:hAnsi="Times New Roman" w:eastAsia="宋体" w:cs="Times New Roman"/>
      <w:lang w:val="en-US" w:eastAsia="zh-CN" w:bidi="ar-SA"/>
    </w:rPr>
  </w:style>
  <w:style w:type="paragraph" w:customStyle="1" w:styleId="80">
    <w:name w:val="附录标识"/>
    <w:basedOn w:val="1"/>
    <w:next w:val="20"/>
    <w:qFormat/>
    <w:uiPriority w:val="0"/>
    <w:pPr>
      <w:keepNext/>
      <w:widowControl/>
      <w:numPr>
        <w:ilvl w:val="0"/>
        <w:numId w:val="10"/>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81">
    <w:name w:val="附录标题"/>
    <w:basedOn w:val="20"/>
    <w:next w:val="20"/>
    <w:qFormat/>
    <w:uiPriority w:val="0"/>
    <w:pPr>
      <w:ind w:firstLine="0" w:firstLineChars="0"/>
      <w:jc w:val="center"/>
    </w:pPr>
    <w:rPr>
      <w:rFonts w:ascii="黑体" w:eastAsia="黑体"/>
    </w:rPr>
  </w:style>
  <w:style w:type="paragraph" w:customStyle="1" w:styleId="82">
    <w:name w:val="附录表标号"/>
    <w:basedOn w:val="1"/>
    <w:next w:val="20"/>
    <w:qFormat/>
    <w:uiPriority w:val="0"/>
    <w:pPr>
      <w:numPr>
        <w:ilvl w:val="0"/>
        <w:numId w:val="12"/>
      </w:numPr>
      <w:tabs>
        <w:tab w:val="clear" w:pos="0"/>
      </w:tabs>
      <w:spacing w:line="14" w:lineRule="exact"/>
      <w:ind w:left="811" w:hanging="448"/>
      <w:jc w:val="center"/>
      <w:outlineLvl w:val="0"/>
    </w:pPr>
    <w:rPr>
      <w:color w:val="FFFFFF"/>
    </w:rPr>
  </w:style>
  <w:style w:type="paragraph" w:customStyle="1" w:styleId="83">
    <w:name w:val="附录表标题"/>
    <w:basedOn w:val="1"/>
    <w:next w:val="20"/>
    <w:qFormat/>
    <w:uiPriority w:val="0"/>
    <w:pPr>
      <w:numPr>
        <w:ilvl w:val="1"/>
        <w:numId w:val="12"/>
      </w:numPr>
      <w:tabs>
        <w:tab w:val="left" w:pos="180"/>
      </w:tabs>
      <w:spacing w:before="50" w:beforeLines="50" w:after="50" w:afterLines="50"/>
      <w:ind w:left="0" w:firstLine="0"/>
      <w:jc w:val="center"/>
    </w:pPr>
    <w:rPr>
      <w:rFonts w:ascii="黑体" w:eastAsia="黑体"/>
      <w:szCs w:val="21"/>
    </w:rPr>
  </w:style>
  <w:style w:type="paragraph" w:customStyle="1" w:styleId="84">
    <w:name w:val="附录二级条标题"/>
    <w:basedOn w:val="1"/>
    <w:next w:val="20"/>
    <w:qFormat/>
    <w:uiPriority w:val="0"/>
    <w:pPr>
      <w:widowControl/>
      <w:numPr>
        <w:ilvl w:val="3"/>
        <w:numId w:val="10"/>
      </w:numPr>
      <w:tabs>
        <w:tab w:val="left" w:pos="360"/>
      </w:tabs>
      <w:wordWrap w:val="0"/>
      <w:overflowPunct w:val="0"/>
      <w:autoSpaceDE w:val="0"/>
      <w:autoSpaceDN w:val="0"/>
      <w:spacing w:before="50" w:beforeLines="50" w:after="50" w:afterLines="50"/>
      <w:textAlignment w:val="baseline"/>
      <w:outlineLvl w:val="3"/>
    </w:pPr>
    <w:rPr>
      <w:rFonts w:ascii="黑体" w:eastAsia="黑体"/>
      <w:kern w:val="21"/>
      <w:szCs w:val="20"/>
    </w:rPr>
  </w:style>
  <w:style w:type="paragraph" w:customStyle="1" w:styleId="85">
    <w:name w:val="附录二级无"/>
    <w:basedOn w:val="84"/>
    <w:qFormat/>
    <w:uiPriority w:val="0"/>
    <w:pPr>
      <w:tabs>
        <w:tab w:val="clear" w:pos="360"/>
      </w:tabs>
      <w:spacing w:before="0" w:beforeLines="0" w:after="0" w:afterLines="0"/>
    </w:pPr>
    <w:rPr>
      <w:rFonts w:ascii="宋体" w:eastAsia="宋体"/>
      <w:szCs w:val="21"/>
    </w:rPr>
  </w:style>
  <w:style w:type="paragraph" w:customStyle="1" w:styleId="86">
    <w:name w:val="附录公式"/>
    <w:basedOn w:val="20"/>
    <w:next w:val="20"/>
    <w:link w:val="130"/>
    <w:qFormat/>
    <w:uiPriority w:val="0"/>
  </w:style>
  <w:style w:type="paragraph" w:customStyle="1" w:styleId="87">
    <w:name w:val="附录公式编号制表符"/>
    <w:basedOn w:val="1"/>
    <w:next w:val="20"/>
    <w:qFormat/>
    <w:uiPriority w:val="0"/>
    <w:pPr>
      <w:widowControl/>
      <w:tabs>
        <w:tab w:val="center" w:pos="4201"/>
        <w:tab w:val="right" w:leader="dot" w:pos="9298"/>
      </w:tabs>
      <w:autoSpaceDE w:val="0"/>
      <w:autoSpaceDN w:val="0"/>
    </w:pPr>
    <w:rPr>
      <w:rFonts w:ascii="宋体"/>
      <w:kern w:val="0"/>
      <w:szCs w:val="20"/>
    </w:rPr>
  </w:style>
  <w:style w:type="paragraph" w:customStyle="1" w:styleId="88">
    <w:name w:val="附录三级条标题"/>
    <w:basedOn w:val="84"/>
    <w:next w:val="20"/>
    <w:qFormat/>
    <w:uiPriority w:val="0"/>
    <w:pPr>
      <w:numPr>
        <w:ilvl w:val="4"/>
        <w:numId w:val="10"/>
      </w:numPr>
      <w:outlineLvl w:val="4"/>
    </w:pPr>
  </w:style>
  <w:style w:type="paragraph" w:customStyle="1" w:styleId="89">
    <w:name w:val="附录三级无"/>
    <w:basedOn w:val="88"/>
    <w:qFormat/>
    <w:uiPriority w:val="0"/>
    <w:pPr>
      <w:tabs>
        <w:tab w:val="clear" w:pos="360"/>
      </w:tabs>
      <w:spacing w:before="0" w:beforeLines="0" w:after="0" w:afterLines="0"/>
    </w:pPr>
    <w:rPr>
      <w:rFonts w:ascii="宋体" w:eastAsia="宋体"/>
      <w:szCs w:val="21"/>
    </w:rPr>
  </w:style>
  <w:style w:type="paragraph" w:customStyle="1" w:styleId="90">
    <w:name w:val="Normal"/>
    <w:qFormat/>
    <w:uiPriority w:val="0"/>
    <w:pPr>
      <w:jc w:val="both"/>
    </w:pPr>
    <w:rPr>
      <w:rFonts w:ascii="Times New Roman" w:hAnsi="Times New Roman" w:eastAsia="宋体" w:cs="Times New Roman"/>
      <w:kern w:val="2"/>
      <w:sz w:val="21"/>
      <w:szCs w:val="21"/>
      <w:lang w:val="en-US" w:eastAsia="zh-CN" w:bidi="ar-SA"/>
    </w:rPr>
  </w:style>
  <w:style w:type="paragraph" w:customStyle="1" w:styleId="91">
    <w:name w:val="附录四级条标题"/>
    <w:basedOn w:val="88"/>
    <w:next w:val="20"/>
    <w:qFormat/>
    <w:uiPriority w:val="0"/>
    <w:pPr>
      <w:numPr>
        <w:ilvl w:val="5"/>
        <w:numId w:val="10"/>
      </w:numPr>
      <w:outlineLvl w:val="5"/>
    </w:pPr>
  </w:style>
  <w:style w:type="paragraph" w:customStyle="1" w:styleId="92">
    <w:name w:val="附录四级无"/>
    <w:basedOn w:val="91"/>
    <w:qFormat/>
    <w:uiPriority w:val="0"/>
    <w:pPr>
      <w:tabs>
        <w:tab w:val="clear" w:pos="360"/>
      </w:tabs>
      <w:spacing w:before="0" w:beforeLines="0" w:after="0" w:afterLines="0"/>
    </w:pPr>
    <w:rPr>
      <w:rFonts w:ascii="宋体" w:eastAsia="宋体"/>
      <w:szCs w:val="21"/>
    </w:rPr>
  </w:style>
  <w:style w:type="paragraph" w:customStyle="1" w:styleId="93">
    <w:name w:val="附录一级无"/>
    <w:basedOn w:val="94"/>
    <w:qFormat/>
    <w:uiPriority w:val="0"/>
    <w:pPr>
      <w:tabs>
        <w:tab w:val="left" w:pos="360"/>
      </w:tabs>
      <w:spacing w:before="0" w:beforeLines="0" w:after="0" w:afterLines="0"/>
    </w:pPr>
    <w:rPr>
      <w:rFonts w:ascii="宋体" w:eastAsia="宋体"/>
      <w:szCs w:val="21"/>
    </w:rPr>
  </w:style>
  <w:style w:type="paragraph" w:customStyle="1" w:styleId="94">
    <w:name w:val="附录一级条标题"/>
    <w:basedOn w:val="67"/>
    <w:next w:val="20"/>
    <w:qFormat/>
    <w:uiPriority w:val="0"/>
    <w:pPr>
      <w:numPr>
        <w:ilvl w:val="2"/>
        <w:numId w:val="10"/>
      </w:numPr>
      <w:autoSpaceDN w:val="0"/>
      <w:spacing w:before="50" w:beforeLines="50" w:after="50" w:afterLines="50"/>
      <w:outlineLvl w:val="2"/>
    </w:pPr>
  </w:style>
  <w:style w:type="paragraph" w:customStyle="1" w:styleId="95">
    <w:name w:val="附录图标号"/>
    <w:basedOn w:val="1"/>
    <w:qFormat/>
    <w:uiPriority w:val="0"/>
    <w:pPr>
      <w:keepNext/>
      <w:pageBreakBefore/>
      <w:widowControl/>
      <w:numPr>
        <w:ilvl w:val="0"/>
        <w:numId w:val="13"/>
      </w:numPr>
      <w:spacing w:line="14" w:lineRule="exact"/>
      <w:ind w:left="0" w:firstLine="363"/>
      <w:jc w:val="center"/>
      <w:outlineLvl w:val="0"/>
    </w:pPr>
    <w:rPr>
      <w:color w:val="FFFFFF"/>
    </w:rPr>
  </w:style>
  <w:style w:type="paragraph" w:customStyle="1" w:styleId="96">
    <w:name w:val="附录图标题"/>
    <w:basedOn w:val="1"/>
    <w:next w:val="20"/>
    <w:qFormat/>
    <w:uiPriority w:val="0"/>
    <w:pPr>
      <w:numPr>
        <w:ilvl w:val="1"/>
        <w:numId w:val="13"/>
      </w:numPr>
      <w:tabs>
        <w:tab w:val="left" w:pos="363"/>
      </w:tabs>
      <w:spacing w:before="50" w:beforeLines="50" w:after="50" w:afterLines="50"/>
      <w:ind w:left="0" w:firstLine="0"/>
      <w:jc w:val="center"/>
    </w:pPr>
    <w:rPr>
      <w:rFonts w:ascii="黑体" w:eastAsia="黑体"/>
      <w:szCs w:val="21"/>
    </w:rPr>
  </w:style>
  <w:style w:type="paragraph" w:customStyle="1" w:styleId="97">
    <w:name w:val="附录五级条标题"/>
    <w:basedOn w:val="91"/>
    <w:next w:val="20"/>
    <w:qFormat/>
    <w:uiPriority w:val="0"/>
    <w:pPr>
      <w:numPr>
        <w:ilvl w:val="6"/>
        <w:numId w:val="10"/>
      </w:numPr>
      <w:outlineLvl w:val="6"/>
    </w:pPr>
  </w:style>
  <w:style w:type="paragraph" w:customStyle="1" w:styleId="98">
    <w:name w:val="其他标准称谓"/>
    <w:next w:val="1"/>
    <w:qFormat/>
    <w:uiPriority w:val="0"/>
    <w:pPr>
      <w:framePr w:hSpace="181" w:vSpace="181" w:wrap="around" w:vAnchor="page" w:hAnchor="page" w:x="1419" w:y="2286" w:anchorLock="1"/>
      <w:spacing w:line="0" w:lineRule="atLeast"/>
      <w:jc w:val="distribute"/>
    </w:pPr>
    <w:rPr>
      <w:rFonts w:ascii="黑体" w:hAnsi="宋体" w:eastAsia="黑体" w:cs="Times New Roman"/>
      <w:spacing w:val="-40"/>
      <w:sz w:val="48"/>
      <w:szCs w:val="52"/>
      <w:lang w:val="en-US" w:eastAsia="zh-CN" w:bidi="ar-SA"/>
    </w:rPr>
  </w:style>
  <w:style w:type="paragraph" w:customStyle="1" w:styleId="99">
    <w:name w:val="附录五级无"/>
    <w:basedOn w:val="97"/>
    <w:qFormat/>
    <w:uiPriority w:val="0"/>
    <w:pPr>
      <w:tabs>
        <w:tab w:val="clear" w:pos="360"/>
      </w:tabs>
      <w:spacing w:before="0" w:beforeLines="0" w:after="0" w:afterLines="0"/>
    </w:pPr>
    <w:rPr>
      <w:rFonts w:ascii="宋体" w:eastAsia="宋体"/>
      <w:szCs w:val="21"/>
    </w:rPr>
  </w:style>
  <w:style w:type="paragraph" w:customStyle="1" w:styleId="100">
    <w:name w:val="附录字母编号列项（一级）"/>
    <w:qFormat/>
    <w:uiPriority w:val="0"/>
    <w:pPr>
      <w:numPr>
        <w:ilvl w:val="0"/>
        <w:numId w:val="8"/>
      </w:numPr>
    </w:pPr>
    <w:rPr>
      <w:rFonts w:ascii="宋体" w:hAnsi="Times New Roman" w:eastAsia="宋体" w:cs="Times New Roman"/>
      <w:sz w:val="21"/>
      <w:lang w:val="en-US" w:eastAsia="zh-CN" w:bidi="ar-SA"/>
    </w:rPr>
  </w:style>
  <w:style w:type="paragraph" w:customStyle="1" w:styleId="101">
    <w:name w:val="列项说明"/>
    <w:basedOn w:val="1"/>
    <w:qFormat/>
    <w:uiPriority w:val="0"/>
    <w:pPr>
      <w:adjustRightInd w:val="0"/>
      <w:spacing w:line="320" w:lineRule="exact"/>
      <w:ind w:left="400" w:leftChars="200" w:hanging="200" w:hangingChars="200"/>
      <w:jc w:val="left"/>
      <w:textAlignment w:val="baseline"/>
    </w:pPr>
    <w:rPr>
      <w:rFonts w:ascii="宋体"/>
      <w:kern w:val="0"/>
      <w:szCs w:val="20"/>
    </w:rPr>
  </w:style>
  <w:style w:type="paragraph" w:customStyle="1" w:styleId="102">
    <w:name w:val="列项说明数字编号"/>
    <w:qFormat/>
    <w:uiPriority w:val="0"/>
    <w:pPr>
      <w:ind w:left="600" w:leftChars="400" w:hanging="200" w:hangingChars="200"/>
    </w:pPr>
    <w:rPr>
      <w:rFonts w:ascii="宋体" w:hAnsi="Times New Roman" w:eastAsia="宋体" w:cs="Times New Roman"/>
      <w:sz w:val="21"/>
      <w:lang w:val="en-US" w:eastAsia="zh-CN" w:bidi="ar-SA"/>
    </w:rPr>
  </w:style>
  <w:style w:type="paragraph" w:customStyle="1" w:styleId="103">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04">
    <w:name w:val="其他标准标志"/>
    <w:basedOn w:val="56"/>
    <w:qFormat/>
    <w:uiPriority w:val="0"/>
    <w:pPr>
      <w:framePr w:w="6101" w:vAnchor="page" w:hAnchor="page" w:x="4673" w:y="942"/>
    </w:pPr>
    <w:rPr>
      <w:w w:val="130"/>
    </w:rPr>
  </w:style>
  <w:style w:type="paragraph" w:customStyle="1" w:styleId="105">
    <w:name w:val="其他发布部门"/>
    <w:basedOn w:val="75"/>
    <w:qFormat/>
    <w:uiPriority w:val="0"/>
    <w:pPr>
      <w:framePr w:y="15310"/>
      <w:spacing w:line="0" w:lineRule="atLeast"/>
    </w:pPr>
    <w:rPr>
      <w:rFonts w:ascii="黑体" w:eastAsia="黑体"/>
      <w:b w:val="0"/>
    </w:rPr>
  </w:style>
  <w:style w:type="paragraph" w:customStyle="1" w:styleId="106">
    <w:name w:val="前言、引言标题"/>
    <w:next w:val="20"/>
    <w:qFormat/>
    <w:uiPriority w:val="0"/>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07">
    <w:name w:val="三级无"/>
    <w:basedOn w:val="41"/>
    <w:qFormat/>
    <w:uiPriority w:val="0"/>
    <w:pPr>
      <w:spacing w:before="0" w:beforeLines="0" w:after="0" w:afterLines="0"/>
    </w:pPr>
    <w:rPr>
      <w:rFonts w:ascii="宋体" w:eastAsia="宋体"/>
    </w:rPr>
  </w:style>
  <w:style w:type="paragraph" w:customStyle="1" w:styleId="108">
    <w:name w:val="实施日期"/>
    <w:basedOn w:val="76"/>
    <w:qFormat/>
    <w:uiPriority w:val="0"/>
    <w:pPr>
      <w:framePr w:vAnchor="page" w:hAnchor="page"/>
      <w:jc w:val="right"/>
    </w:pPr>
  </w:style>
  <w:style w:type="paragraph" w:customStyle="1" w:styleId="109">
    <w:name w:val="示例后文字"/>
    <w:basedOn w:val="20"/>
    <w:next w:val="20"/>
    <w:qFormat/>
    <w:uiPriority w:val="0"/>
    <w:pPr>
      <w:ind w:firstLine="360"/>
    </w:pPr>
    <w:rPr>
      <w:sz w:val="18"/>
    </w:rPr>
  </w:style>
  <w:style w:type="paragraph" w:customStyle="1" w:styleId="110">
    <w:name w:val="首示例"/>
    <w:next w:val="20"/>
    <w:link w:val="132"/>
    <w:qFormat/>
    <w:uiPriority w:val="0"/>
    <w:pPr>
      <w:numPr>
        <w:ilvl w:val="0"/>
        <w:numId w:val="14"/>
      </w:numPr>
      <w:tabs>
        <w:tab w:val="left" w:pos="360"/>
      </w:tabs>
      <w:ind w:firstLine="0"/>
    </w:pPr>
    <w:rPr>
      <w:rFonts w:ascii="宋体" w:hAnsi="宋体" w:eastAsia="宋体" w:cs="Times New Roman"/>
      <w:kern w:val="2"/>
      <w:sz w:val="18"/>
      <w:szCs w:val="18"/>
      <w:lang w:val="en-US" w:eastAsia="zh-CN" w:bidi="ar-SA"/>
    </w:rPr>
  </w:style>
  <w:style w:type="paragraph" w:customStyle="1" w:styleId="111">
    <w:name w:val="四级无"/>
    <w:basedOn w:val="40"/>
    <w:qFormat/>
    <w:uiPriority w:val="0"/>
    <w:pPr>
      <w:spacing w:before="0" w:beforeLines="0" w:after="0" w:afterLines="0"/>
    </w:pPr>
    <w:rPr>
      <w:rFonts w:ascii="宋体" w:eastAsia="宋体"/>
    </w:rPr>
  </w:style>
  <w:style w:type="paragraph" w:customStyle="1" w:styleId="112">
    <w:name w:val="条文脚注"/>
    <w:basedOn w:val="21"/>
    <w:qFormat/>
    <w:uiPriority w:val="0"/>
    <w:pPr>
      <w:numPr>
        <w:ilvl w:val="0"/>
        <w:numId w:val="0"/>
      </w:numPr>
      <w:jc w:val="both"/>
    </w:pPr>
    <w:rPr>
      <w:rFonts w:ascii="宋体"/>
    </w:rPr>
  </w:style>
  <w:style w:type="paragraph" w:customStyle="1" w:styleId="113">
    <w:name w:val="图标脚注说明"/>
    <w:basedOn w:val="20"/>
    <w:qFormat/>
    <w:uiPriority w:val="0"/>
    <w:pPr>
      <w:ind w:left="840" w:hanging="420" w:firstLineChars="0"/>
    </w:pPr>
    <w:rPr>
      <w:sz w:val="18"/>
      <w:szCs w:val="18"/>
    </w:rPr>
  </w:style>
  <w:style w:type="paragraph" w:customStyle="1" w:styleId="114">
    <w:name w:val="图表脚注说明"/>
    <w:basedOn w:val="1"/>
    <w:qFormat/>
    <w:uiPriority w:val="0"/>
    <w:pPr>
      <w:numPr>
        <w:ilvl w:val="0"/>
        <w:numId w:val="15"/>
      </w:numPr>
    </w:pPr>
    <w:rPr>
      <w:rFonts w:ascii="宋体"/>
      <w:sz w:val="18"/>
      <w:szCs w:val="18"/>
    </w:rPr>
  </w:style>
  <w:style w:type="paragraph" w:customStyle="1" w:styleId="115">
    <w:name w:val="图的脚注"/>
    <w:next w:val="20"/>
    <w:qFormat/>
    <w:uiPriority w:val="0"/>
    <w:pPr>
      <w:widowControl w:val="0"/>
      <w:ind w:left="840" w:leftChars="200" w:hanging="420" w:hangingChars="200"/>
      <w:jc w:val="both"/>
    </w:pPr>
    <w:rPr>
      <w:rFonts w:ascii="宋体" w:hAnsi="Times New Roman" w:eastAsia="宋体" w:cs="Times New Roman"/>
      <w:sz w:val="18"/>
      <w:lang w:val="en-US" w:eastAsia="zh-CN" w:bidi="ar-SA"/>
    </w:rPr>
  </w:style>
  <w:style w:type="paragraph" w:customStyle="1" w:styleId="116">
    <w:name w:val="文献分类号"/>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117">
    <w:name w:val="一级无"/>
    <w:basedOn w:val="36"/>
    <w:qFormat/>
    <w:uiPriority w:val="0"/>
    <w:pPr>
      <w:spacing w:before="0" w:beforeLines="0" w:after="0" w:afterLines="0"/>
    </w:pPr>
    <w:rPr>
      <w:rFonts w:ascii="宋体" w:eastAsia="宋体"/>
    </w:rPr>
  </w:style>
  <w:style w:type="paragraph" w:customStyle="1" w:styleId="118">
    <w:name w:val="正文表标题"/>
    <w:next w:val="20"/>
    <w:qFormat/>
    <w:uiPriority w:val="0"/>
    <w:pPr>
      <w:numPr>
        <w:ilvl w:val="0"/>
        <w:numId w:val="16"/>
      </w:numPr>
      <w:tabs>
        <w:tab w:val="left" w:pos="360"/>
      </w:tabs>
      <w:spacing w:before="156" w:beforeLines="50" w:after="156" w:afterLines="50"/>
      <w:jc w:val="center"/>
    </w:pPr>
    <w:rPr>
      <w:rFonts w:ascii="黑体" w:hAnsi="Times New Roman" w:eastAsia="黑体" w:cs="Times New Roman"/>
      <w:sz w:val="21"/>
      <w:lang w:val="en-US" w:eastAsia="zh-CN" w:bidi="ar-SA"/>
    </w:rPr>
  </w:style>
  <w:style w:type="paragraph" w:customStyle="1" w:styleId="119">
    <w:name w:val="正文公式编号制表符"/>
    <w:basedOn w:val="20"/>
    <w:next w:val="20"/>
    <w:qFormat/>
    <w:uiPriority w:val="0"/>
    <w:pPr>
      <w:ind w:firstLine="0" w:firstLineChars="0"/>
    </w:pPr>
  </w:style>
  <w:style w:type="paragraph" w:customStyle="1" w:styleId="120">
    <w:name w:val="封面标准名称2"/>
    <w:basedOn w:val="46"/>
    <w:qFormat/>
    <w:uiPriority w:val="0"/>
    <w:pPr>
      <w:framePr w:y="4469"/>
      <w:spacing w:before="630" w:beforeLines="630"/>
    </w:pPr>
  </w:style>
  <w:style w:type="paragraph" w:customStyle="1" w:styleId="121">
    <w:name w:val="正文图标题"/>
    <w:next w:val="20"/>
    <w:uiPriority w:val="0"/>
    <w:pPr>
      <w:numPr>
        <w:ilvl w:val="0"/>
        <w:numId w:val="17"/>
      </w:numPr>
      <w:tabs>
        <w:tab w:val="left" w:pos="360"/>
      </w:tabs>
      <w:spacing w:before="156" w:beforeLines="50" w:after="156" w:afterLines="50"/>
      <w:jc w:val="center"/>
    </w:pPr>
    <w:rPr>
      <w:rFonts w:ascii="黑体" w:hAnsi="Times New Roman" w:eastAsia="黑体" w:cs="Times New Roman"/>
      <w:sz w:val="21"/>
      <w:lang w:val="en-US" w:eastAsia="zh-CN" w:bidi="ar-SA"/>
    </w:rPr>
  </w:style>
  <w:style w:type="paragraph" w:customStyle="1" w:styleId="122">
    <w:name w:val="终结线"/>
    <w:basedOn w:val="1"/>
    <w:qFormat/>
    <w:uiPriority w:val="0"/>
    <w:pPr>
      <w:framePr w:hSpace="181" w:vSpace="181" w:wrap="around" w:vAnchor="text" w:hAnchor="margin" w:xAlign="center" w:y="285"/>
    </w:pPr>
  </w:style>
  <w:style w:type="paragraph" w:customStyle="1" w:styleId="123">
    <w:name w:val="封面标准文稿编辑信息2"/>
    <w:basedOn w:val="42"/>
    <w:qFormat/>
    <w:uiPriority w:val="0"/>
    <w:pPr>
      <w:framePr w:y="4469"/>
    </w:pPr>
  </w:style>
  <w:style w:type="paragraph" w:customStyle="1" w:styleId="124">
    <w:name w:val="其他发布日期"/>
    <w:basedOn w:val="76"/>
    <w:qFormat/>
    <w:uiPriority w:val="0"/>
    <w:pPr>
      <w:framePr w:vAnchor="page" w:hAnchor="page" w:x="1419"/>
    </w:pPr>
  </w:style>
  <w:style w:type="paragraph" w:customStyle="1" w:styleId="125">
    <w:name w:val="其他实施日期"/>
    <w:basedOn w:val="108"/>
    <w:uiPriority w:val="0"/>
  </w:style>
  <w:style w:type="paragraph" w:customStyle="1" w:styleId="126">
    <w:name w:val="封面标准英文名称2"/>
    <w:basedOn w:val="45"/>
    <w:qFormat/>
    <w:uiPriority w:val="0"/>
    <w:pPr>
      <w:framePr w:y="4469"/>
    </w:pPr>
  </w:style>
  <w:style w:type="paragraph" w:customStyle="1" w:styleId="127">
    <w:name w:val="封面一致性程度标识2"/>
    <w:basedOn w:val="44"/>
    <w:qFormat/>
    <w:uiPriority w:val="0"/>
    <w:pPr>
      <w:framePr w:y="4469"/>
    </w:pPr>
  </w:style>
  <w:style w:type="paragraph" w:customStyle="1" w:styleId="128">
    <w:name w:val="封面标准文稿类别2"/>
    <w:basedOn w:val="43"/>
    <w:qFormat/>
    <w:uiPriority w:val="0"/>
    <w:pPr>
      <w:framePr w:y="4469"/>
    </w:pPr>
  </w:style>
  <w:style w:type="character" w:customStyle="1" w:styleId="129">
    <w:name w:val="段 Char"/>
    <w:basedOn w:val="28"/>
    <w:link w:val="20"/>
    <w:qFormat/>
    <w:uiPriority w:val="0"/>
    <w:rPr>
      <w:rFonts w:ascii="宋体"/>
      <w:sz w:val="21"/>
      <w:lang w:val="en-US" w:eastAsia="zh-CN" w:bidi="ar-SA"/>
    </w:rPr>
  </w:style>
  <w:style w:type="character" w:customStyle="1" w:styleId="130">
    <w:name w:val="附录公式 Char"/>
    <w:basedOn w:val="129"/>
    <w:link w:val="86"/>
    <w:qFormat/>
    <w:uiPriority w:val="0"/>
  </w:style>
  <w:style w:type="character" w:customStyle="1" w:styleId="131">
    <w:name w:val="发布"/>
    <w:basedOn w:val="28"/>
    <w:qFormat/>
    <w:uiPriority w:val="0"/>
    <w:rPr>
      <w:rFonts w:ascii="黑体" w:eastAsia="黑体"/>
      <w:spacing w:val="85"/>
      <w:w w:val="100"/>
      <w:position w:val="3"/>
      <w:sz w:val="28"/>
      <w:szCs w:val="28"/>
    </w:rPr>
  </w:style>
  <w:style w:type="character" w:customStyle="1" w:styleId="132">
    <w:name w:val="首示例 Char"/>
    <w:basedOn w:val="28"/>
    <w:link w:val="110"/>
    <w:qFormat/>
    <w:uiPriority w:val="0"/>
    <w:rPr>
      <w:rFonts w:ascii="宋体" w:hAnsi="宋体"/>
      <w:kern w:val="2"/>
      <w:sz w:val="18"/>
      <w:szCs w:val="18"/>
      <w:lang w:val="en-US" w:eastAsia="zh-CN" w:bidi="ar-SA"/>
    </w:rPr>
  </w:style>
  <w:style w:type="paragraph" w:customStyle="1" w:styleId="133">
    <w:name w:val="Other|1"/>
    <w:basedOn w:val="1"/>
    <w:qFormat/>
    <w:uiPriority w:val="0"/>
    <w:pPr>
      <w:widowControl w:val="0"/>
      <w:shd w:val="clear" w:color="auto" w:fill="auto"/>
      <w:spacing w:after="120" w:line="360" w:lineRule="auto"/>
      <w:ind w:firstLine="400"/>
    </w:pPr>
    <w:rPr>
      <w:rFonts w:ascii="宋体" w:hAnsi="宋体" w:eastAsia="宋体" w:cs="宋体"/>
      <w:sz w:val="20"/>
      <w:szCs w:val="20"/>
      <w:u w:val="none"/>
      <w:shd w:val="clear" w:color="auto" w:fill="auto"/>
      <w:lang w:val="zh-TW" w:eastAsia="zh-TW" w:bidi="zh-TW"/>
    </w:rPr>
  </w:style>
  <w:style w:type="paragraph" w:customStyle="1" w:styleId="134">
    <w:name w:val="Heading #3|1"/>
    <w:basedOn w:val="1"/>
    <w:qFormat/>
    <w:uiPriority w:val="0"/>
    <w:pPr>
      <w:widowControl w:val="0"/>
      <w:shd w:val="clear" w:color="auto" w:fill="auto"/>
      <w:spacing w:after="60" w:line="209" w:lineRule="auto"/>
      <w:ind w:left="1560"/>
      <w:outlineLvl w:val="2"/>
    </w:pPr>
    <w:rPr>
      <w:i/>
      <w:iCs/>
      <w:u w:val="none"/>
      <w:shd w:val="clear" w:color="auto" w:fill="auto"/>
    </w:rPr>
  </w:style>
  <w:style w:type="paragraph" w:customStyle="1" w:styleId="135">
    <w:name w:val="Body text|4"/>
    <w:basedOn w:val="1"/>
    <w:qFormat/>
    <w:uiPriority w:val="0"/>
    <w:pPr>
      <w:widowControl w:val="0"/>
      <w:shd w:val="clear" w:color="auto" w:fill="auto"/>
      <w:spacing w:after="240"/>
      <w:ind w:left="1320"/>
      <w:jc w:val="center"/>
    </w:pPr>
    <w:rPr>
      <w:rFonts w:ascii="宋体" w:hAnsi="宋体" w:eastAsia="宋体" w:cs="宋体"/>
      <w:sz w:val="18"/>
      <w:szCs w:val="18"/>
      <w:u w:val="none"/>
      <w:shd w:val="clear" w:color="auto" w:fill="auto"/>
      <w:lang w:val="zh-TW" w:eastAsia="zh-TW" w:bidi="zh-TW"/>
    </w:rPr>
  </w:style>
  <w:style w:type="paragraph" w:customStyle="1" w:styleId="136">
    <w:name w:val="Body text|1"/>
    <w:basedOn w:val="1"/>
    <w:qFormat/>
    <w:uiPriority w:val="0"/>
    <w:pPr>
      <w:widowControl w:val="0"/>
      <w:shd w:val="clear" w:color="auto" w:fill="auto"/>
      <w:spacing w:after="120" w:line="360" w:lineRule="auto"/>
      <w:ind w:firstLine="400"/>
    </w:pPr>
    <w:rPr>
      <w:rFonts w:ascii="宋体" w:hAnsi="宋体" w:eastAsia="宋体" w:cs="宋体"/>
      <w:sz w:val="20"/>
      <w:szCs w:val="20"/>
      <w:u w:val="none"/>
      <w:shd w:val="clear" w:color="auto" w:fill="auto"/>
      <w:lang w:val="zh-TW" w:eastAsia="zh-TW" w:bidi="zh-TW"/>
    </w:rPr>
  </w:style>
  <w:style w:type="paragraph" w:customStyle="1" w:styleId="137">
    <w:name w:val="Body text|2"/>
    <w:basedOn w:val="1"/>
    <w:qFormat/>
    <w:uiPriority w:val="0"/>
    <w:pPr>
      <w:widowControl w:val="0"/>
      <w:shd w:val="clear" w:color="auto" w:fill="auto"/>
      <w:spacing w:line="338" w:lineRule="auto"/>
      <w:ind w:firstLine="210"/>
    </w:pPr>
    <w:rPr>
      <w:sz w:val="20"/>
      <w:szCs w:val="20"/>
      <w:u w:val="none"/>
      <w:shd w:val="clear" w:color="auto" w:fill="auto"/>
    </w:rPr>
  </w:style>
</w:styles>
</file>

<file path=word/_rels/document.xml.rels><?xml version="1.0" encoding="UTF-8" standalone="yes"?>
<Relationships xmlns="http://schemas.openxmlformats.org/package/2006/relationships"><Relationship Id="rId9" Type="http://schemas.openxmlformats.org/officeDocument/2006/relationships/image" Target="media/image2.wmf"/><Relationship Id="rId8" Type="http://schemas.openxmlformats.org/officeDocument/2006/relationships/oleObject" Target="embeddings/oleObject2.bin"/><Relationship Id="rId7" Type="http://schemas.openxmlformats.org/officeDocument/2006/relationships/image" Target="media/image1.w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wmf"/><Relationship Id="rId10" Type="http://schemas.openxmlformats.org/officeDocument/2006/relationships/oleObject" Target="embeddings/oleObject3.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J:\b&#26631;&#20934;&#21270;&#24037;&#20316;\2020&#24180;\20200331&#24449;&#38598;2020&#24180;&#24230;&#24066;&#32423;&#22320;&#26041;&#26631;&#20934;&#31435;&#39033;&#24314;&#35758;&#30340;&#36890;&#30693;\&#24066;&#32423;&#22320;&#26041;&#26631;&#20934;&#19979;&#36798;\&#37057;&#21335;&#21439;&#24066;&#22330;&#30417;&#30563;&#31649;&#29702;&#23616;&#20851;&#20110;&#21327;&#21161;&#24320;&#23637;&#24449;&#27714;&#12298;&#22320;&#29702;&#26631;&#24535;&#20135;&#21697;%20&#24222;&#23528;&#40657;&#21494;&#33620;&#26525;&#12299;&#24847;&#35265;&#20989;\&#38468;&#20214;&#65306;&#37057;&#21335;&#21439;&#36136;&#37327;&#25216;&#26415;&#21327;&#20250;&#12298;&#22320;&#29702;&#26631;&#24535;&#20135;&#21697;%20&#24222;&#23528;&#40657;&#21494;&#33620;&#26525;&#12299;&#24449;&#27714;&#24847;&#35265;&#20989;\&#38468;&#20214;1&#12298;&#22320;&#29702;&#26631;&#24535;&#20135;&#21697;%20&#24222;&#23528;&#40657;&#21494;&#33620;&#26525;&#12299;&#24449;&#27714;&#24847;&#35265;&#31295;.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1027"/>
    <customShpInfo spid="_x0000_s1028"/>
    <customShpInfo spid="_x0000_s1029"/>
    <customShpInfo spid="_x0000_s1030"/>
    <customShpInfo spid="_x0000_s103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附件1《地理标志产品 庞寨黑叶荔枝》征求意见稿.dot</Template>
  <Pages>15</Pages>
  <Words>5677</Words>
  <Characters>6745</Characters>
  <Lines>60</Lines>
  <Paragraphs>17</Paragraphs>
  <TotalTime>6</TotalTime>
  <ScaleCrop>false</ScaleCrop>
  <LinksUpToDate>false</LinksUpToDate>
  <CharactersWithSpaces>6928</CharactersWithSpaces>
  <Application>WPS Office_10.1.0.7520_F1E327BC-269C-435d-A152-05C5408002CA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2020-06-01T00:38:00Z</dcterms:created>
  <dcterms:modified xsi:type="dcterms:W3CDTF">2020-07-06T02:15:45Z</dcterms:modified>
  <dc:title>标准名称</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2052-10.1.0.7520</vt:lpwstr>
  </property>
</Properties>
</file>